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D5BE" w14:textId="4BB81E85" w:rsidR="004F7F1E" w:rsidRDefault="004F7F1E" w:rsidP="004F7F1E"/>
    <w:p w14:paraId="45A390F2" w14:textId="3BEBF048" w:rsidR="004F7F1E" w:rsidRDefault="00C4733F" w:rsidP="004F7F1E">
      <w:r w:rsidRPr="004F7F1E">
        <w:rPr>
          <w:noProof/>
        </w:rPr>
        <mc:AlternateContent>
          <mc:Choice Requires="wps">
            <w:drawing>
              <wp:anchor distT="0" distB="0" distL="114300" distR="114300" simplePos="0" relativeHeight="251656190" behindDoc="0" locked="0" layoutInCell="1" allowOverlap="1" wp14:anchorId="7A6DDCC6" wp14:editId="3A082856">
                <wp:simplePos x="0" y="0"/>
                <wp:positionH relativeFrom="margin">
                  <wp:align>right</wp:align>
                </wp:positionH>
                <wp:positionV relativeFrom="paragraph">
                  <wp:posOffset>217804</wp:posOffset>
                </wp:positionV>
                <wp:extent cx="5762625" cy="339090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5762625" cy="3390900"/>
                        </a:xfrm>
                        <a:prstGeom prst="rect">
                          <a:avLst/>
                        </a:prstGeom>
                        <a:solidFill>
                          <a:schemeClr val="lt1"/>
                        </a:solidFill>
                        <a:ln w="6350">
                          <a:noFill/>
                        </a:ln>
                      </wps:spPr>
                      <wps:txbx>
                        <w:txbxContent>
                          <w:p w14:paraId="09A512C7" w14:textId="7C51C163" w:rsidR="00BF1C9F" w:rsidRPr="00D217A9" w:rsidRDefault="00C4733F" w:rsidP="00D217A9">
                            <w:pPr>
                              <w:pStyle w:val="Ttulo"/>
                              <w:rPr>
                                <w:color w:val="294E88"/>
                                <w:lang w:val="en-US"/>
                              </w:rPr>
                            </w:pPr>
                            <w:r w:rsidRPr="00C4733F">
                              <w:rPr>
                                <w:lang w:val="en-US"/>
                              </w:rPr>
                              <w:t>PLASMA CELL DISORDERS (PCD) incl. MULTIPLE MYELOMA (MM) indication diagnosis form</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402.55pt;margin-top:17.15pt;width:453.75pt;height:267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" fillcolor="white [3201]" stroked="f" strokeweight=".5pt">
                <v:textbox inset="0">
                  <w:txbxContent>
                    <w:p w14:paraId="09A512C7" w14:textId="7C51C163" w:rsidR="00BF1C9F" w:rsidRPr="00D217A9" w:rsidRDefault="00C4733F" w:rsidP="00D217A9">
                      <w:pPr>
                        <w:pStyle w:val="Ttulo"/>
                        <w:rPr>
                          <w:color w:val="294E88"/>
                          <w:lang w:val="en-US"/>
                        </w:rPr>
                      </w:pPr>
                      <w:r w:rsidRPr="00C4733F">
                        <w:rPr>
                          <w:lang w:val="en-US"/>
                        </w:rPr>
                        <w:t>PLASMA CELL DISORDERS (PCD) incl. MULTIPLE MYELOMA (MM) indication diagnosis form</w:t>
                      </w:r>
                    </w:p>
                  </w:txbxContent>
                </v:textbox>
                <w10:wrap anchorx="margin"/>
              </v:shape>
            </w:pict>
          </mc:Fallback>
        </mc:AlternateContent>
      </w:r>
    </w:p>
    <w:p w14:paraId="2EFC7339" w14:textId="66ED6296" w:rsidR="004F7F1E" w:rsidRDefault="004F7F1E" w:rsidP="004F7F1E"/>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2817BA0C" w:rsidR="00C4485C" w:rsidRPr="00C4485C" w:rsidRDefault="00C4733F" w:rsidP="00C4485C">
      <w:r w:rsidRPr="004F7F1E">
        <w:rPr>
          <w:noProof/>
        </w:rPr>
        <mc:AlternateContent>
          <mc:Choice Requires="wps">
            <w:drawing>
              <wp:anchor distT="0" distB="0" distL="114300" distR="114300" simplePos="0" relativeHeight="251673600" behindDoc="0" locked="0" layoutInCell="1" allowOverlap="1" wp14:anchorId="1A669598" wp14:editId="38335577">
                <wp:simplePos x="0" y="0"/>
                <wp:positionH relativeFrom="margin">
                  <wp:align>right</wp:align>
                </wp:positionH>
                <wp:positionV relativeFrom="paragraph">
                  <wp:posOffset>270509</wp:posOffset>
                </wp:positionV>
                <wp:extent cx="5715000" cy="1000125"/>
                <wp:effectExtent l="0" t="0" r="0" b="9525"/>
                <wp:wrapNone/>
                <wp:docPr id="606833344" name="Cuadro de texto 4"/>
                <wp:cNvGraphicFramePr/>
                <a:graphic xmlns:a="http://schemas.openxmlformats.org/drawingml/2006/main">
                  <a:graphicData uri="http://schemas.microsoft.com/office/word/2010/wordprocessingShape">
                    <wps:wsp>
                      <wps:cNvSpPr txBox="1"/>
                      <wps:spPr>
                        <a:xfrm>
                          <a:off x="0" y="0"/>
                          <a:ext cx="5715000" cy="1000125"/>
                        </a:xfrm>
                        <a:prstGeom prst="rect">
                          <a:avLst/>
                        </a:prstGeom>
                        <a:solidFill>
                          <a:schemeClr val="lt1"/>
                        </a:solidFill>
                        <a:ln w="6350">
                          <a:noFill/>
                        </a:ln>
                      </wps:spPr>
                      <wps:txbx>
                        <w:txbxContent>
                          <w:p w14:paraId="329572DB" w14:textId="77777777" w:rsidR="00C4733F" w:rsidRDefault="00C4733F" w:rsidP="00D217A9">
                            <w:pPr>
                              <w:spacing w:line="276" w:lineRule="auto"/>
                              <w:rPr>
                                <w:rFonts w:ascii="Arial" w:hAnsi="Arial" w:cs="Arial"/>
                                <w:b/>
                                <w:bCs/>
                                <w:sz w:val="32"/>
                                <w:szCs w:val="32"/>
                                <w:lang w:val="en-GB" w:eastAsia="en-US"/>
                              </w:rPr>
                            </w:pPr>
                            <w:r w:rsidRPr="00C4733F">
                              <w:rPr>
                                <w:rFonts w:ascii="Arial" w:hAnsi="Arial" w:cs="Arial"/>
                                <w:b/>
                                <w:bCs/>
                                <w:sz w:val="32"/>
                                <w:szCs w:val="32"/>
                                <w:lang w:val="en-GB" w:eastAsia="en-US"/>
                              </w:rPr>
                              <w:t>A Guide to the completion of the EBMT Diagnosis form: DRAFT_PCD_incl_MM_v0.6</w:t>
                            </w:r>
                          </w:p>
                          <w:p w14:paraId="5EFA8EAD" w14:textId="1BC014DE" w:rsidR="00D217A9" w:rsidRPr="005D36E1" w:rsidRDefault="00FF207C"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19</w:t>
                            </w:r>
                            <w:r w:rsidR="00D217A9" w:rsidRPr="005D36E1">
                              <w:rPr>
                                <w:rFonts w:ascii="Arial" w:hAnsi="Arial" w:cs="Arial"/>
                                <w:color w:val="0E2E4A"/>
                                <w:sz w:val="32"/>
                                <w:szCs w:val="32"/>
                                <w:lang w:val="en-US"/>
                              </w:rPr>
                              <w:t xml:space="preserve"> M</w:t>
                            </w:r>
                            <w:r>
                              <w:rPr>
                                <w:rFonts w:ascii="Arial" w:hAnsi="Arial" w:cs="Arial"/>
                                <w:color w:val="0E2E4A"/>
                                <w:sz w:val="32"/>
                                <w:szCs w:val="32"/>
                                <w:lang w:val="en-US"/>
                              </w:rPr>
                              <w:t>ay</w:t>
                            </w:r>
                            <w:r w:rsidR="00D217A9" w:rsidRPr="005D36E1">
                              <w:rPr>
                                <w:rFonts w:ascii="Arial" w:hAnsi="Arial" w:cs="Arial"/>
                                <w:color w:val="0E2E4A"/>
                                <w:sz w:val="32"/>
                                <w:szCs w:val="32"/>
                                <w:lang w:val="en-US"/>
                              </w:rPr>
                              <w:t xml:space="preserve"> </w:t>
                            </w:r>
                            <w:r>
                              <w:rPr>
                                <w:rFonts w:ascii="Arial" w:hAnsi="Arial" w:cs="Arial"/>
                                <w:color w:val="0E2E4A"/>
                                <w:sz w:val="32"/>
                                <w:szCs w:val="32"/>
                                <w:lang w:val="en-US"/>
                              </w:rPr>
                              <w:t>2023</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398.8pt;margin-top:21.3pt;width:450pt;height:7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" fillcolor="white [3201]" stroked="f" strokeweight=".5pt">
                <v:textbox inset="0">
                  <w:txbxContent>
                    <w:p w14:paraId="329572DB" w14:textId="77777777" w:rsidR="00C4733F" w:rsidRDefault="00C4733F" w:rsidP="00D217A9">
                      <w:pPr>
                        <w:spacing w:line="276" w:lineRule="auto"/>
                        <w:rPr>
                          <w:rFonts w:ascii="Arial" w:hAnsi="Arial" w:cs="Arial"/>
                          <w:b/>
                          <w:bCs/>
                          <w:sz w:val="32"/>
                          <w:szCs w:val="32"/>
                          <w:lang w:val="en-GB" w:eastAsia="en-US"/>
                        </w:rPr>
                      </w:pPr>
                      <w:r w:rsidRPr="00C4733F">
                        <w:rPr>
                          <w:rFonts w:ascii="Arial" w:hAnsi="Arial" w:cs="Arial"/>
                          <w:b/>
                          <w:bCs/>
                          <w:sz w:val="32"/>
                          <w:szCs w:val="32"/>
                          <w:lang w:val="en-GB" w:eastAsia="en-US"/>
                        </w:rPr>
                        <w:t>A Guide to the completion of the EBMT Diagnosis form: DRAFT_PCD_incl_MM_v0.6</w:t>
                      </w:r>
                    </w:p>
                    <w:p w14:paraId="5EFA8EAD" w14:textId="1BC014DE" w:rsidR="00D217A9" w:rsidRPr="005D36E1" w:rsidRDefault="00FF207C"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19</w:t>
                      </w:r>
                      <w:r w:rsidR="00D217A9" w:rsidRPr="005D36E1">
                        <w:rPr>
                          <w:rFonts w:ascii="Arial" w:hAnsi="Arial" w:cs="Arial"/>
                          <w:color w:val="0E2E4A"/>
                          <w:sz w:val="32"/>
                          <w:szCs w:val="32"/>
                          <w:lang w:val="en-US"/>
                        </w:rPr>
                        <w:t xml:space="preserve"> M</w:t>
                      </w:r>
                      <w:r>
                        <w:rPr>
                          <w:rFonts w:ascii="Arial" w:hAnsi="Arial" w:cs="Arial"/>
                          <w:color w:val="0E2E4A"/>
                          <w:sz w:val="32"/>
                          <w:szCs w:val="32"/>
                          <w:lang w:val="en-US"/>
                        </w:rPr>
                        <w:t>ay</w:t>
                      </w:r>
                      <w:r w:rsidR="00D217A9" w:rsidRPr="005D36E1">
                        <w:rPr>
                          <w:rFonts w:ascii="Arial" w:hAnsi="Arial" w:cs="Arial"/>
                          <w:color w:val="0E2E4A"/>
                          <w:sz w:val="32"/>
                          <w:szCs w:val="32"/>
                          <w:lang w:val="en-US"/>
                        </w:rPr>
                        <w:t xml:space="preserve"> </w:t>
                      </w:r>
                      <w:r>
                        <w:rPr>
                          <w:rFonts w:ascii="Arial" w:hAnsi="Arial" w:cs="Arial"/>
                          <w:color w:val="0E2E4A"/>
                          <w:sz w:val="32"/>
                          <w:szCs w:val="32"/>
                          <w:lang w:val="en-US"/>
                        </w:rPr>
                        <w:t>2023</w:t>
                      </w:r>
                    </w:p>
                  </w:txbxContent>
                </v:textbox>
                <w10:wrap anchorx="margin"/>
              </v:shape>
            </w:pict>
          </mc:Fallback>
        </mc:AlternateContent>
      </w:r>
    </w:p>
    <w:p w14:paraId="532551E7" w14:textId="6497A166" w:rsidR="00C4485C" w:rsidRPr="00C4485C" w:rsidRDefault="00C4485C" w:rsidP="00C4485C"/>
    <w:p w14:paraId="59C3EBA6" w14:textId="6B02ACC5" w:rsidR="00C4485C" w:rsidRPr="00C4485C" w:rsidRDefault="00C4485C" w:rsidP="00C4485C"/>
    <w:p w14:paraId="4C342C40" w14:textId="3FDF966D" w:rsidR="00C4485C" w:rsidRPr="00C4485C" w:rsidRDefault="00C4485C" w:rsidP="00C4485C"/>
    <w:p w14:paraId="08927124" w14:textId="380A4201" w:rsidR="00C4485C" w:rsidRPr="00C4485C" w:rsidRDefault="00C4733F" w:rsidP="00C4485C">
      <w:r>
        <w:rPr>
          <w:noProof/>
        </w:rPr>
        <mc:AlternateContent>
          <mc:Choice Requires="wps">
            <w:drawing>
              <wp:anchor distT="0" distB="0" distL="114300" distR="114300" simplePos="0" relativeHeight="251671552" behindDoc="0" locked="0" layoutInCell="1" allowOverlap="1" wp14:anchorId="2EB6E2E0" wp14:editId="00488C2A">
                <wp:simplePos x="0" y="0"/>
                <wp:positionH relativeFrom="column">
                  <wp:posOffset>-5715</wp:posOffset>
                </wp:positionH>
                <wp:positionV relativeFrom="paragraph">
                  <wp:posOffset>66675</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1925F"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25pt" to="32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" strokecolor="#3a4f92" strokeweight="1.5pt">
                <v:stroke joinstyle="miter"/>
              </v:lin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390B291B">
                <wp:simplePos x="0" y="0"/>
                <wp:positionH relativeFrom="margin">
                  <wp:posOffset>19685</wp:posOffset>
                </wp:positionH>
                <wp:positionV relativeFrom="paragraph">
                  <wp:posOffset>178435</wp:posOffset>
                </wp:positionV>
                <wp:extent cx="4137025" cy="1436370"/>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14.0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" fillcolor="white [3201]" stroked="f" strokeweight=".5pt">
                <v:textbox style="mso-fit-shape-to-text:t" inset="0">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tuloTDC"/>
            <w:rPr>
              <w:rStyle w:val="Ttulo1Car"/>
              <w:rFonts w:eastAsiaTheme="minorEastAsia" w:cstheme="minorBidi"/>
              <w:b w:val="0"/>
              <w:color w:val="auto"/>
              <w:sz w:val="21"/>
              <w:szCs w:val="24"/>
              <w:lang w:val="es-ES" w:eastAsia="zh-CN"/>
            </w:rPr>
          </w:pPr>
          <w:r w:rsidRPr="00262435">
            <w:rPr>
              <w:rStyle w:val="Ttulo1Car"/>
              <w:b w:val="0"/>
              <w:bCs/>
            </w:rPr>
            <w:t xml:space="preserve">Table </w:t>
          </w:r>
          <w:bookmarkStart w:id="1" w:name="_GoBack"/>
          <w:bookmarkEnd w:id="1"/>
          <w:r w:rsidRPr="00262435">
            <w:rPr>
              <w:rStyle w:val="Ttulo1Car"/>
              <w:b w:val="0"/>
              <w:bCs/>
            </w:rPr>
            <w:t>of Contents</w:t>
          </w:r>
        </w:p>
        <w:p w14:paraId="49A66F4E" w14:textId="3F32C997" w:rsidR="009B4195" w:rsidRDefault="00D9245A">
          <w:pPr>
            <w:pStyle w:val="TDC2"/>
            <w:tabs>
              <w:tab w:val="right" w:leader="dot" w:pos="9010"/>
            </w:tabs>
            <w:rPr>
              <w:rFonts w:asciiTheme="minorHAnsi" w:hAnsiTheme="minorHAnsi"/>
              <w:noProof/>
              <w:sz w:val="22"/>
              <w:szCs w:val="22"/>
              <w:lang w:eastAsia="es-ES"/>
            </w:rPr>
          </w:pPr>
          <w:r>
            <w:rPr>
              <w:rFonts w:ascii="Arial" w:hAnsi="Arial"/>
              <w:lang w:val="en-GB"/>
            </w:rPr>
            <w:fldChar w:fldCharType="begin"/>
          </w:r>
          <w:r>
            <w:instrText xml:space="preserve"> TOC \o "1-3" \h \z \u </w:instrText>
          </w:r>
          <w:r>
            <w:rPr>
              <w:rFonts w:ascii="Arial" w:hAnsi="Arial"/>
              <w:lang w:val="en-GB"/>
            </w:rPr>
            <w:fldChar w:fldCharType="separate"/>
          </w:r>
          <w:hyperlink w:anchor="_Toc135410244" w:history="1">
            <w:r w:rsidR="009B4195" w:rsidRPr="000C2ECE">
              <w:rPr>
                <w:rStyle w:val="Hipervnculo"/>
                <w:noProof/>
                <w:lang w:val="en-US"/>
              </w:rPr>
              <w:t>1. Date of diagnosis</w:t>
            </w:r>
            <w:r w:rsidR="009B4195">
              <w:rPr>
                <w:noProof/>
                <w:webHidden/>
              </w:rPr>
              <w:tab/>
            </w:r>
            <w:r w:rsidR="009B4195">
              <w:rPr>
                <w:noProof/>
                <w:webHidden/>
              </w:rPr>
              <w:fldChar w:fldCharType="begin"/>
            </w:r>
            <w:r w:rsidR="009B4195">
              <w:rPr>
                <w:noProof/>
                <w:webHidden/>
              </w:rPr>
              <w:instrText xml:space="preserve"> PAGEREF _Toc135410244 \h </w:instrText>
            </w:r>
            <w:r w:rsidR="009B4195">
              <w:rPr>
                <w:noProof/>
                <w:webHidden/>
              </w:rPr>
            </w:r>
            <w:r w:rsidR="009B4195">
              <w:rPr>
                <w:noProof/>
                <w:webHidden/>
              </w:rPr>
              <w:fldChar w:fldCharType="separate"/>
            </w:r>
            <w:r w:rsidR="009B4195">
              <w:rPr>
                <w:noProof/>
                <w:webHidden/>
              </w:rPr>
              <w:t>3</w:t>
            </w:r>
            <w:r w:rsidR="009B4195">
              <w:rPr>
                <w:noProof/>
                <w:webHidden/>
              </w:rPr>
              <w:fldChar w:fldCharType="end"/>
            </w:r>
          </w:hyperlink>
        </w:p>
        <w:p w14:paraId="1108CDE5" w14:textId="085FDC15" w:rsidR="009B4195" w:rsidRDefault="009B4195">
          <w:pPr>
            <w:pStyle w:val="TDC2"/>
            <w:tabs>
              <w:tab w:val="right" w:leader="dot" w:pos="9010"/>
            </w:tabs>
            <w:rPr>
              <w:rFonts w:asciiTheme="minorHAnsi" w:hAnsiTheme="minorHAnsi"/>
              <w:noProof/>
              <w:sz w:val="22"/>
              <w:szCs w:val="22"/>
              <w:lang w:eastAsia="es-ES"/>
            </w:rPr>
          </w:pPr>
          <w:hyperlink w:anchor="_Toc135410245" w:history="1">
            <w:r w:rsidRPr="000C2ECE">
              <w:rPr>
                <w:rStyle w:val="Hipervnculo"/>
                <w:noProof/>
                <w:lang w:val="en-GB"/>
              </w:rPr>
              <w:t>2. PCD incl. MM Classification</w:t>
            </w:r>
            <w:r>
              <w:rPr>
                <w:noProof/>
                <w:webHidden/>
              </w:rPr>
              <w:tab/>
            </w:r>
            <w:r>
              <w:rPr>
                <w:noProof/>
                <w:webHidden/>
              </w:rPr>
              <w:fldChar w:fldCharType="begin"/>
            </w:r>
            <w:r>
              <w:rPr>
                <w:noProof/>
                <w:webHidden/>
              </w:rPr>
              <w:instrText xml:space="preserve"> PAGEREF _Toc135410245 \h </w:instrText>
            </w:r>
            <w:r>
              <w:rPr>
                <w:noProof/>
                <w:webHidden/>
              </w:rPr>
            </w:r>
            <w:r>
              <w:rPr>
                <w:noProof/>
                <w:webHidden/>
              </w:rPr>
              <w:fldChar w:fldCharType="separate"/>
            </w:r>
            <w:r>
              <w:rPr>
                <w:noProof/>
                <w:webHidden/>
              </w:rPr>
              <w:t>3</w:t>
            </w:r>
            <w:r>
              <w:rPr>
                <w:noProof/>
                <w:webHidden/>
              </w:rPr>
              <w:fldChar w:fldCharType="end"/>
            </w:r>
          </w:hyperlink>
        </w:p>
        <w:p w14:paraId="19CF7368" w14:textId="48458C79" w:rsidR="009B4195" w:rsidRDefault="009B4195">
          <w:pPr>
            <w:pStyle w:val="TDC3"/>
            <w:tabs>
              <w:tab w:val="right" w:leader="dot" w:pos="9010"/>
            </w:tabs>
            <w:rPr>
              <w:rFonts w:asciiTheme="minorHAnsi" w:hAnsiTheme="minorHAnsi"/>
              <w:noProof/>
              <w:sz w:val="22"/>
              <w:szCs w:val="22"/>
              <w:lang w:eastAsia="es-ES"/>
            </w:rPr>
          </w:pPr>
          <w:hyperlink w:anchor="_Toc135410246" w:history="1">
            <w:r w:rsidRPr="000C2ECE">
              <w:rPr>
                <w:rStyle w:val="Hipervnculo"/>
                <w:noProof/>
                <w:lang w:val="en-US"/>
              </w:rPr>
              <w:t>2.1. Multiple myeloma</w:t>
            </w:r>
            <w:r>
              <w:rPr>
                <w:noProof/>
                <w:webHidden/>
              </w:rPr>
              <w:tab/>
            </w:r>
            <w:r>
              <w:rPr>
                <w:noProof/>
                <w:webHidden/>
              </w:rPr>
              <w:fldChar w:fldCharType="begin"/>
            </w:r>
            <w:r>
              <w:rPr>
                <w:noProof/>
                <w:webHidden/>
              </w:rPr>
              <w:instrText xml:space="preserve"> PAGEREF _Toc135410246 \h </w:instrText>
            </w:r>
            <w:r>
              <w:rPr>
                <w:noProof/>
                <w:webHidden/>
              </w:rPr>
            </w:r>
            <w:r>
              <w:rPr>
                <w:noProof/>
                <w:webHidden/>
              </w:rPr>
              <w:fldChar w:fldCharType="separate"/>
            </w:r>
            <w:r>
              <w:rPr>
                <w:noProof/>
                <w:webHidden/>
              </w:rPr>
              <w:t>3</w:t>
            </w:r>
            <w:r>
              <w:rPr>
                <w:noProof/>
                <w:webHidden/>
              </w:rPr>
              <w:fldChar w:fldCharType="end"/>
            </w:r>
          </w:hyperlink>
        </w:p>
        <w:p w14:paraId="468B0C83" w14:textId="395D536C" w:rsidR="009B4195" w:rsidRDefault="009B4195">
          <w:pPr>
            <w:pStyle w:val="TDC3"/>
            <w:tabs>
              <w:tab w:val="right" w:leader="dot" w:pos="9010"/>
            </w:tabs>
            <w:rPr>
              <w:rFonts w:asciiTheme="minorHAnsi" w:hAnsiTheme="minorHAnsi"/>
              <w:noProof/>
              <w:sz w:val="22"/>
              <w:szCs w:val="22"/>
              <w:lang w:eastAsia="es-ES"/>
            </w:rPr>
          </w:pPr>
          <w:hyperlink w:anchor="_Toc135410247" w:history="1">
            <w:r w:rsidRPr="000C2ECE">
              <w:rPr>
                <w:rStyle w:val="Hipervnculo"/>
                <w:noProof/>
                <w:lang w:val="en-GB"/>
              </w:rPr>
              <w:t>2.2. Plasma cell leukaemia</w:t>
            </w:r>
            <w:r>
              <w:rPr>
                <w:noProof/>
                <w:webHidden/>
              </w:rPr>
              <w:tab/>
            </w:r>
            <w:r>
              <w:rPr>
                <w:noProof/>
                <w:webHidden/>
              </w:rPr>
              <w:fldChar w:fldCharType="begin"/>
            </w:r>
            <w:r>
              <w:rPr>
                <w:noProof/>
                <w:webHidden/>
              </w:rPr>
              <w:instrText xml:space="preserve"> PAGEREF _Toc135410247 \h </w:instrText>
            </w:r>
            <w:r>
              <w:rPr>
                <w:noProof/>
                <w:webHidden/>
              </w:rPr>
            </w:r>
            <w:r>
              <w:rPr>
                <w:noProof/>
                <w:webHidden/>
              </w:rPr>
              <w:fldChar w:fldCharType="separate"/>
            </w:r>
            <w:r>
              <w:rPr>
                <w:noProof/>
                <w:webHidden/>
              </w:rPr>
              <w:t>5</w:t>
            </w:r>
            <w:r>
              <w:rPr>
                <w:noProof/>
                <w:webHidden/>
              </w:rPr>
              <w:fldChar w:fldCharType="end"/>
            </w:r>
          </w:hyperlink>
        </w:p>
        <w:p w14:paraId="5F6BCC1D" w14:textId="50442EF9" w:rsidR="009B4195" w:rsidRDefault="009B4195">
          <w:pPr>
            <w:pStyle w:val="TDC3"/>
            <w:tabs>
              <w:tab w:val="right" w:leader="dot" w:pos="9010"/>
            </w:tabs>
            <w:rPr>
              <w:rFonts w:asciiTheme="minorHAnsi" w:hAnsiTheme="minorHAnsi"/>
              <w:noProof/>
              <w:sz w:val="22"/>
              <w:szCs w:val="22"/>
              <w:lang w:eastAsia="es-ES"/>
            </w:rPr>
          </w:pPr>
          <w:hyperlink w:anchor="_Toc135410248" w:history="1">
            <w:r w:rsidRPr="000C2ECE">
              <w:rPr>
                <w:rStyle w:val="Hipervnculo"/>
                <w:noProof/>
                <w:lang w:val="en-GB"/>
              </w:rPr>
              <w:t>2.3. Solitary plasmacytoma (SP)</w:t>
            </w:r>
            <w:r>
              <w:rPr>
                <w:noProof/>
                <w:webHidden/>
              </w:rPr>
              <w:tab/>
            </w:r>
            <w:r>
              <w:rPr>
                <w:noProof/>
                <w:webHidden/>
              </w:rPr>
              <w:fldChar w:fldCharType="begin"/>
            </w:r>
            <w:r>
              <w:rPr>
                <w:noProof/>
                <w:webHidden/>
              </w:rPr>
              <w:instrText xml:space="preserve"> PAGEREF _Toc135410248 \h </w:instrText>
            </w:r>
            <w:r>
              <w:rPr>
                <w:noProof/>
                <w:webHidden/>
              </w:rPr>
            </w:r>
            <w:r>
              <w:rPr>
                <w:noProof/>
                <w:webHidden/>
              </w:rPr>
              <w:fldChar w:fldCharType="separate"/>
            </w:r>
            <w:r>
              <w:rPr>
                <w:noProof/>
                <w:webHidden/>
              </w:rPr>
              <w:t>5</w:t>
            </w:r>
            <w:r>
              <w:rPr>
                <w:noProof/>
                <w:webHidden/>
              </w:rPr>
              <w:fldChar w:fldCharType="end"/>
            </w:r>
          </w:hyperlink>
        </w:p>
        <w:p w14:paraId="45825C29" w14:textId="5108F109" w:rsidR="009B4195" w:rsidRDefault="009B4195">
          <w:pPr>
            <w:pStyle w:val="TDC3"/>
            <w:tabs>
              <w:tab w:val="right" w:leader="dot" w:pos="9010"/>
            </w:tabs>
            <w:rPr>
              <w:rFonts w:asciiTheme="minorHAnsi" w:hAnsiTheme="minorHAnsi"/>
              <w:noProof/>
              <w:sz w:val="22"/>
              <w:szCs w:val="22"/>
              <w:lang w:eastAsia="es-ES"/>
            </w:rPr>
          </w:pPr>
          <w:hyperlink w:anchor="_Toc135410249" w:history="1">
            <w:r w:rsidRPr="000C2ECE">
              <w:rPr>
                <w:rStyle w:val="Hipervnculo"/>
                <w:noProof/>
                <w:lang w:val="en-GB"/>
              </w:rPr>
              <w:t>2.4. Systemic AL Amyloidosis</w:t>
            </w:r>
            <w:r>
              <w:rPr>
                <w:noProof/>
                <w:webHidden/>
              </w:rPr>
              <w:tab/>
            </w:r>
            <w:r>
              <w:rPr>
                <w:noProof/>
                <w:webHidden/>
              </w:rPr>
              <w:fldChar w:fldCharType="begin"/>
            </w:r>
            <w:r>
              <w:rPr>
                <w:noProof/>
                <w:webHidden/>
              </w:rPr>
              <w:instrText xml:space="preserve"> PAGEREF _Toc135410249 \h </w:instrText>
            </w:r>
            <w:r>
              <w:rPr>
                <w:noProof/>
                <w:webHidden/>
              </w:rPr>
            </w:r>
            <w:r>
              <w:rPr>
                <w:noProof/>
                <w:webHidden/>
              </w:rPr>
              <w:fldChar w:fldCharType="separate"/>
            </w:r>
            <w:r>
              <w:rPr>
                <w:noProof/>
                <w:webHidden/>
              </w:rPr>
              <w:t>5</w:t>
            </w:r>
            <w:r>
              <w:rPr>
                <w:noProof/>
                <w:webHidden/>
              </w:rPr>
              <w:fldChar w:fldCharType="end"/>
            </w:r>
          </w:hyperlink>
        </w:p>
        <w:p w14:paraId="351672C0" w14:textId="2E38AE9B" w:rsidR="009B4195" w:rsidRDefault="009B4195">
          <w:pPr>
            <w:pStyle w:val="TDC3"/>
            <w:tabs>
              <w:tab w:val="right" w:leader="dot" w:pos="9010"/>
            </w:tabs>
            <w:rPr>
              <w:rFonts w:asciiTheme="minorHAnsi" w:hAnsiTheme="minorHAnsi"/>
              <w:noProof/>
              <w:sz w:val="22"/>
              <w:szCs w:val="22"/>
              <w:lang w:eastAsia="es-ES"/>
            </w:rPr>
          </w:pPr>
          <w:hyperlink w:anchor="_Toc135410250" w:history="1">
            <w:r w:rsidRPr="000C2ECE">
              <w:rPr>
                <w:rStyle w:val="Hipervnculo"/>
                <w:noProof/>
                <w:lang w:val="en-GB"/>
              </w:rPr>
              <w:t>2.5. Monoclonal light and heavy chain deposition disease (LCDD, LHCDD and HCDD)</w:t>
            </w:r>
            <w:r>
              <w:rPr>
                <w:noProof/>
                <w:webHidden/>
              </w:rPr>
              <w:tab/>
            </w:r>
            <w:r>
              <w:rPr>
                <w:noProof/>
                <w:webHidden/>
              </w:rPr>
              <w:fldChar w:fldCharType="begin"/>
            </w:r>
            <w:r>
              <w:rPr>
                <w:noProof/>
                <w:webHidden/>
              </w:rPr>
              <w:instrText xml:space="preserve"> PAGEREF _Toc135410250 \h </w:instrText>
            </w:r>
            <w:r>
              <w:rPr>
                <w:noProof/>
                <w:webHidden/>
              </w:rPr>
            </w:r>
            <w:r>
              <w:rPr>
                <w:noProof/>
                <w:webHidden/>
              </w:rPr>
              <w:fldChar w:fldCharType="separate"/>
            </w:r>
            <w:r>
              <w:rPr>
                <w:noProof/>
                <w:webHidden/>
              </w:rPr>
              <w:t>6</w:t>
            </w:r>
            <w:r>
              <w:rPr>
                <w:noProof/>
                <w:webHidden/>
              </w:rPr>
              <w:fldChar w:fldCharType="end"/>
            </w:r>
          </w:hyperlink>
        </w:p>
        <w:p w14:paraId="393D1222" w14:textId="48295E9F" w:rsidR="009B4195" w:rsidRDefault="009B4195">
          <w:pPr>
            <w:pStyle w:val="TDC3"/>
            <w:tabs>
              <w:tab w:val="right" w:leader="dot" w:pos="9010"/>
            </w:tabs>
            <w:rPr>
              <w:rFonts w:asciiTheme="minorHAnsi" w:hAnsiTheme="minorHAnsi"/>
              <w:noProof/>
              <w:sz w:val="22"/>
              <w:szCs w:val="22"/>
              <w:lang w:eastAsia="es-ES"/>
            </w:rPr>
          </w:pPr>
          <w:hyperlink w:anchor="_Toc135410251" w:history="1">
            <w:r w:rsidRPr="000C2ECE">
              <w:rPr>
                <w:rStyle w:val="Hipervnculo"/>
                <w:noProof/>
                <w:lang w:val="en-GB"/>
              </w:rPr>
              <w:t>2.6. POEMS</w:t>
            </w:r>
            <w:r>
              <w:rPr>
                <w:noProof/>
                <w:webHidden/>
              </w:rPr>
              <w:tab/>
            </w:r>
            <w:r>
              <w:rPr>
                <w:noProof/>
                <w:webHidden/>
              </w:rPr>
              <w:fldChar w:fldCharType="begin"/>
            </w:r>
            <w:r>
              <w:rPr>
                <w:noProof/>
                <w:webHidden/>
              </w:rPr>
              <w:instrText xml:space="preserve"> PAGEREF _Toc135410251 \h </w:instrText>
            </w:r>
            <w:r>
              <w:rPr>
                <w:noProof/>
                <w:webHidden/>
              </w:rPr>
            </w:r>
            <w:r>
              <w:rPr>
                <w:noProof/>
                <w:webHidden/>
              </w:rPr>
              <w:fldChar w:fldCharType="separate"/>
            </w:r>
            <w:r>
              <w:rPr>
                <w:noProof/>
                <w:webHidden/>
              </w:rPr>
              <w:t>6</w:t>
            </w:r>
            <w:r>
              <w:rPr>
                <w:noProof/>
                <w:webHidden/>
              </w:rPr>
              <w:fldChar w:fldCharType="end"/>
            </w:r>
          </w:hyperlink>
        </w:p>
        <w:p w14:paraId="76ED68C8" w14:textId="74956A56" w:rsidR="009B4195" w:rsidRDefault="009B4195">
          <w:pPr>
            <w:pStyle w:val="TDC3"/>
            <w:tabs>
              <w:tab w:val="right" w:leader="dot" w:pos="9010"/>
            </w:tabs>
            <w:rPr>
              <w:rFonts w:asciiTheme="minorHAnsi" w:hAnsiTheme="minorHAnsi"/>
              <w:noProof/>
              <w:sz w:val="22"/>
              <w:szCs w:val="22"/>
              <w:lang w:eastAsia="es-ES"/>
            </w:rPr>
          </w:pPr>
          <w:hyperlink w:anchor="_Toc135410252" w:history="1">
            <w:r w:rsidRPr="000C2ECE">
              <w:rPr>
                <w:rStyle w:val="Hipervnculo"/>
                <w:noProof/>
                <w:lang w:val="en-GB"/>
              </w:rPr>
              <w:t>2.7. Other</w:t>
            </w:r>
            <w:r>
              <w:rPr>
                <w:noProof/>
                <w:webHidden/>
              </w:rPr>
              <w:tab/>
            </w:r>
            <w:r>
              <w:rPr>
                <w:noProof/>
                <w:webHidden/>
              </w:rPr>
              <w:fldChar w:fldCharType="begin"/>
            </w:r>
            <w:r>
              <w:rPr>
                <w:noProof/>
                <w:webHidden/>
              </w:rPr>
              <w:instrText xml:space="preserve"> PAGEREF _Toc135410252 \h </w:instrText>
            </w:r>
            <w:r>
              <w:rPr>
                <w:noProof/>
                <w:webHidden/>
              </w:rPr>
            </w:r>
            <w:r>
              <w:rPr>
                <w:noProof/>
                <w:webHidden/>
              </w:rPr>
              <w:fldChar w:fldCharType="separate"/>
            </w:r>
            <w:r>
              <w:rPr>
                <w:noProof/>
                <w:webHidden/>
              </w:rPr>
              <w:t>7</w:t>
            </w:r>
            <w:r>
              <w:rPr>
                <w:noProof/>
                <w:webHidden/>
              </w:rPr>
              <w:fldChar w:fldCharType="end"/>
            </w:r>
          </w:hyperlink>
        </w:p>
        <w:p w14:paraId="0CD9B6F9" w14:textId="0505496F" w:rsidR="009B4195" w:rsidRDefault="009B4195">
          <w:pPr>
            <w:pStyle w:val="TDC2"/>
            <w:tabs>
              <w:tab w:val="right" w:leader="dot" w:pos="9010"/>
            </w:tabs>
            <w:rPr>
              <w:rFonts w:asciiTheme="minorHAnsi" w:hAnsiTheme="minorHAnsi"/>
              <w:noProof/>
              <w:sz w:val="22"/>
              <w:szCs w:val="22"/>
              <w:lang w:eastAsia="es-ES"/>
            </w:rPr>
          </w:pPr>
          <w:hyperlink w:anchor="_Toc135410253" w:history="1">
            <w:r w:rsidRPr="000C2ECE">
              <w:rPr>
                <w:rStyle w:val="Hipervnculo"/>
                <w:noProof/>
                <w:lang w:val="en-GB"/>
              </w:rPr>
              <w:t>3. Staging at diagnosis (report for Multiple myeloma only)</w:t>
            </w:r>
            <w:r>
              <w:rPr>
                <w:noProof/>
                <w:webHidden/>
              </w:rPr>
              <w:tab/>
            </w:r>
            <w:r>
              <w:rPr>
                <w:noProof/>
                <w:webHidden/>
              </w:rPr>
              <w:fldChar w:fldCharType="begin"/>
            </w:r>
            <w:r>
              <w:rPr>
                <w:noProof/>
                <w:webHidden/>
              </w:rPr>
              <w:instrText xml:space="preserve"> PAGEREF _Toc135410253 \h </w:instrText>
            </w:r>
            <w:r>
              <w:rPr>
                <w:noProof/>
                <w:webHidden/>
              </w:rPr>
            </w:r>
            <w:r>
              <w:rPr>
                <w:noProof/>
                <w:webHidden/>
              </w:rPr>
              <w:fldChar w:fldCharType="separate"/>
            </w:r>
            <w:r>
              <w:rPr>
                <w:noProof/>
                <w:webHidden/>
              </w:rPr>
              <w:t>8</w:t>
            </w:r>
            <w:r>
              <w:rPr>
                <w:noProof/>
                <w:webHidden/>
              </w:rPr>
              <w:fldChar w:fldCharType="end"/>
            </w:r>
          </w:hyperlink>
        </w:p>
        <w:p w14:paraId="174D1ABE" w14:textId="16AD7B05" w:rsidR="009B4195" w:rsidRDefault="009B4195">
          <w:pPr>
            <w:pStyle w:val="TDC2"/>
            <w:tabs>
              <w:tab w:val="right" w:leader="dot" w:pos="9010"/>
            </w:tabs>
            <w:rPr>
              <w:rFonts w:asciiTheme="minorHAnsi" w:hAnsiTheme="minorHAnsi"/>
              <w:noProof/>
              <w:sz w:val="22"/>
              <w:szCs w:val="22"/>
              <w:lang w:eastAsia="es-ES"/>
            </w:rPr>
          </w:pPr>
          <w:hyperlink w:anchor="_Toc135410254" w:history="1">
            <w:r w:rsidRPr="000C2ECE">
              <w:rPr>
                <w:rStyle w:val="Hipervnculo"/>
                <w:noProof/>
                <w:lang w:val="en-US"/>
              </w:rPr>
              <w:t>4. Extramedullary disease (EMD) (report for Multiple myeloma only)</w:t>
            </w:r>
            <w:r>
              <w:rPr>
                <w:noProof/>
                <w:webHidden/>
              </w:rPr>
              <w:tab/>
            </w:r>
            <w:r>
              <w:rPr>
                <w:noProof/>
                <w:webHidden/>
              </w:rPr>
              <w:fldChar w:fldCharType="begin"/>
            </w:r>
            <w:r>
              <w:rPr>
                <w:noProof/>
                <w:webHidden/>
              </w:rPr>
              <w:instrText xml:space="preserve"> PAGEREF _Toc135410254 \h </w:instrText>
            </w:r>
            <w:r>
              <w:rPr>
                <w:noProof/>
                <w:webHidden/>
              </w:rPr>
            </w:r>
            <w:r>
              <w:rPr>
                <w:noProof/>
                <w:webHidden/>
              </w:rPr>
              <w:fldChar w:fldCharType="separate"/>
            </w:r>
            <w:r>
              <w:rPr>
                <w:noProof/>
                <w:webHidden/>
              </w:rPr>
              <w:t>9</w:t>
            </w:r>
            <w:r>
              <w:rPr>
                <w:noProof/>
                <w:webHidden/>
              </w:rPr>
              <w:fldChar w:fldCharType="end"/>
            </w:r>
          </w:hyperlink>
        </w:p>
        <w:p w14:paraId="0407ABEA" w14:textId="51C80603" w:rsidR="009B4195" w:rsidRDefault="009B4195">
          <w:pPr>
            <w:pStyle w:val="TDC2"/>
            <w:tabs>
              <w:tab w:val="right" w:leader="dot" w:pos="9010"/>
            </w:tabs>
            <w:rPr>
              <w:rFonts w:asciiTheme="minorHAnsi" w:hAnsiTheme="minorHAnsi"/>
              <w:noProof/>
              <w:sz w:val="22"/>
              <w:szCs w:val="22"/>
              <w:lang w:eastAsia="es-ES"/>
            </w:rPr>
          </w:pPr>
          <w:hyperlink w:anchor="_Toc135410255" w:history="1">
            <w:r w:rsidRPr="000C2ECE">
              <w:rPr>
                <w:rStyle w:val="Hipervnculo"/>
                <w:noProof/>
                <w:lang w:val="en-US"/>
              </w:rPr>
              <w:t>5. Chromosome analysis at diagnosis (report for all types except Systemic AL Amyloidosis)</w:t>
            </w:r>
            <w:r>
              <w:rPr>
                <w:noProof/>
                <w:webHidden/>
              </w:rPr>
              <w:tab/>
            </w:r>
            <w:r>
              <w:rPr>
                <w:noProof/>
                <w:webHidden/>
              </w:rPr>
              <w:fldChar w:fldCharType="begin"/>
            </w:r>
            <w:r>
              <w:rPr>
                <w:noProof/>
                <w:webHidden/>
              </w:rPr>
              <w:instrText xml:space="preserve"> PAGEREF _Toc135410255 \h </w:instrText>
            </w:r>
            <w:r>
              <w:rPr>
                <w:noProof/>
                <w:webHidden/>
              </w:rPr>
            </w:r>
            <w:r>
              <w:rPr>
                <w:noProof/>
                <w:webHidden/>
              </w:rPr>
              <w:fldChar w:fldCharType="separate"/>
            </w:r>
            <w:r>
              <w:rPr>
                <w:noProof/>
                <w:webHidden/>
              </w:rPr>
              <w:t>9</w:t>
            </w:r>
            <w:r>
              <w:rPr>
                <w:noProof/>
                <w:webHidden/>
              </w:rPr>
              <w:fldChar w:fldCharType="end"/>
            </w:r>
          </w:hyperlink>
        </w:p>
        <w:p w14:paraId="355AEF06" w14:textId="48A8E2BF" w:rsidR="009B4195" w:rsidRDefault="009B4195">
          <w:pPr>
            <w:pStyle w:val="TDC3"/>
            <w:tabs>
              <w:tab w:val="right" w:leader="dot" w:pos="9010"/>
            </w:tabs>
            <w:rPr>
              <w:rFonts w:asciiTheme="minorHAnsi" w:hAnsiTheme="minorHAnsi"/>
              <w:noProof/>
              <w:sz w:val="22"/>
              <w:szCs w:val="22"/>
              <w:lang w:eastAsia="es-ES"/>
            </w:rPr>
          </w:pPr>
          <w:hyperlink w:anchor="_Toc135410256" w:history="1">
            <w:r w:rsidRPr="000C2ECE">
              <w:rPr>
                <w:rStyle w:val="Hipervnculo"/>
                <w:noProof/>
                <w:lang w:val="en-GB"/>
              </w:rPr>
              <w:t>5.1. Date of chromosome analysis (if tested)</w:t>
            </w:r>
            <w:r>
              <w:rPr>
                <w:noProof/>
                <w:webHidden/>
              </w:rPr>
              <w:tab/>
            </w:r>
            <w:r>
              <w:rPr>
                <w:noProof/>
                <w:webHidden/>
              </w:rPr>
              <w:fldChar w:fldCharType="begin"/>
            </w:r>
            <w:r>
              <w:rPr>
                <w:noProof/>
                <w:webHidden/>
              </w:rPr>
              <w:instrText xml:space="preserve"> PAGEREF _Toc135410256 \h </w:instrText>
            </w:r>
            <w:r>
              <w:rPr>
                <w:noProof/>
                <w:webHidden/>
              </w:rPr>
            </w:r>
            <w:r>
              <w:rPr>
                <w:noProof/>
                <w:webHidden/>
              </w:rPr>
              <w:fldChar w:fldCharType="separate"/>
            </w:r>
            <w:r>
              <w:rPr>
                <w:noProof/>
                <w:webHidden/>
              </w:rPr>
              <w:t>10</w:t>
            </w:r>
            <w:r>
              <w:rPr>
                <w:noProof/>
                <w:webHidden/>
              </w:rPr>
              <w:fldChar w:fldCharType="end"/>
            </w:r>
          </w:hyperlink>
        </w:p>
        <w:p w14:paraId="7C9089CD" w14:textId="78E75176" w:rsidR="009B4195" w:rsidRDefault="009B4195">
          <w:pPr>
            <w:pStyle w:val="TDC3"/>
            <w:tabs>
              <w:tab w:val="right" w:leader="dot" w:pos="9010"/>
            </w:tabs>
            <w:rPr>
              <w:rFonts w:asciiTheme="minorHAnsi" w:hAnsiTheme="minorHAnsi"/>
              <w:noProof/>
              <w:sz w:val="22"/>
              <w:szCs w:val="22"/>
              <w:lang w:eastAsia="es-ES"/>
            </w:rPr>
          </w:pPr>
          <w:hyperlink w:anchor="_Toc135410257" w:history="1">
            <w:r w:rsidRPr="000C2ECE">
              <w:rPr>
                <w:rStyle w:val="Hipervnculo"/>
                <w:noProof/>
                <w:lang w:val="en-GB"/>
              </w:rPr>
              <w:t>5.2. Chromosome analysis method</w:t>
            </w:r>
            <w:r>
              <w:rPr>
                <w:noProof/>
                <w:webHidden/>
              </w:rPr>
              <w:tab/>
            </w:r>
            <w:r>
              <w:rPr>
                <w:noProof/>
                <w:webHidden/>
              </w:rPr>
              <w:fldChar w:fldCharType="begin"/>
            </w:r>
            <w:r>
              <w:rPr>
                <w:noProof/>
                <w:webHidden/>
              </w:rPr>
              <w:instrText xml:space="preserve"> PAGEREF _Toc135410257 \h </w:instrText>
            </w:r>
            <w:r>
              <w:rPr>
                <w:noProof/>
                <w:webHidden/>
              </w:rPr>
            </w:r>
            <w:r>
              <w:rPr>
                <w:noProof/>
                <w:webHidden/>
              </w:rPr>
              <w:fldChar w:fldCharType="separate"/>
            </w:r>
            <w:r>
              <w:rPr>
                <w:noProof/>
                <w:webHidden/>
              </w:rPr>
              <w:t>10</w:t>
            </w:r>
            <w:r>
              <w:rPr>
                <w:noProof/>
                <w:webHidden/>
              </w:rPr>
              <w:fldChar w:fldCharType="end"/>
            </w:r>
          </w:hyperlink>
        </w:p>
        <w:p w14:paraId="50036865" w14:textId="29B3E085" w:rsidR="009B4195" w:rsidRDefault="009B4195">
          <w:pPr>
            <w:pStyle w:val="TDC3"/>
            <w:tabs>
              <w:tab w:val="right" w:leader="dot" w:pos="9010"/>
            </w:tabs>
            <w:rPr>
              <w:rFonts w:asciiTheme="minorHAnsi" w:hAnsiTheme="minorHAnsi"/>
              <w:noProof/>
              <w:sz w:val="22"/>
              <w:szCs w:val="22"/>
              <w:lang w:eastAsia="es-ES"/>
            </w:rPr>
          </w:pPr>
          <w:hyperlink w:anchor="_Toc135410258" w:history="1">
            <w:r w:rsidRPr="000C2ECE">
              <w:rPr>
                <w:rStyle w:val="Hipervnculo"/>
                <w:noProof/>
                <w:lang w:val="en-GB"/>
              </w:rPr>
              <w:t>5.3. Chromosome analysis details</w:t>
            </w:r>
            <w:r>
              <w:rPr>
                <w:noProof/>
                <w:webHidden/>
              </w:rPr>
              <w:tab/>
            </w:r>
            <w:r>
              <w:rPr>
                <w:noProof/>
                <w:webHidden/>
              </w:rPr>
              <w:fldChar w:fldCharType="begin"/>
            </w:r>
            <w:r>
              <w:rPr>
                <w:noProof/>
                <w:webHidden/>
              </w:rPr>
              <w:instrText xml:space="preserve"> PAGEREF _Toc135410258 \h </w:instrText>
            </w:r>
            <w:r>
              <w:rPr>
                <w:noProof/>
                <w:webHidden/>
              </w:rPr>
            </w:r>
            <w:r>
              <w:rPr>
                <w:noProof/>
                <w:webHidden/>
              </w:rPr>
              <w:fldChar w:fldCharType="separate"/>
            </w:r>
            <w:r>
              <w:rPr>
                <w:noProof/>
                <w:webHidden/>
              </w:rPr>
              <w:t>10</w:t>
            </w:r>
            <w:r>
              <w:rPr>
                <w:noProof/>
                <w:webHidden/>
              </w:rPr>
              <w:fldChar w:fldCharType="end"/>
            </w:r>
          </w:hyperlink>
        </w:p>
        <w:p w14:paraId="2DC8CC53" w14:textId="26F1B8BE" w:rsidR="009B4195" w:rsidRDefault="009B4195">
          <w:pPr>
            <w:pStyle w:val="TDC3"/>
            <w:tabs>
              <w:tab w:val="right" w:leader="dot" w:pos="9010"/>
            </w:tabs>
            <w:rPr>
              <w:rFonts w:asciiTheme="minorHAnsi" w:hAnsiTheme="minorHAnsi"/>
              <w:noProof/>
              <w:sz w:val="22"/>
              <w:szCs w:val="22"/>
              <w:lang w:eastAsia="es-ES"/>
            </w:rPr>
          </w:pPr>
          <w:hyperlink w:anchor="_Toc135410259" w:history="1">
            <w:r w:rsidRPr="000C2ECE">
              <w:rPr>
                <w:rStyle w:val="Hipervnculo"/>
                <w:noProof/>
                <w:lang w:val="en-GB"/>
              </w:rPr>
              <w:t>5.4. Transcribe the complete karyotype</w:t>
            </w:r>
            <w:r>
              <w:rPr>
                <w:noProof/>
                <w:webHidden/>
              </w:rPr>
              <w:tab/>
            </w:r>
            <w:r>
              <w:rPr>
                <w:noProof/>
                <w:webHidden/>
              </w:rPr>
              <w:fldChar w:fldCharType="begin"/>
            </w:r>
            <w:r>
              <w:rPr>
                <w:noProof/>
                <w:webHidden/>
              </w:rPr>
              <w:instrText xml:space="preserve"> PAGEREF _Toc135410259 \h </w:instrText>
            </w:r>
            <w:r>
              <w:rPr>
                <w:noProof/>
                <w:webHidden/>
              </w:rPr>
            </w:r>
            <w:r>
              <w:rPr>
                <w:noProof/>
                <w:webHidden/>
              </w:rPr>
              <w:fldChar w:fldCharType="separate"/>
            </w:r>
            <w:r>
              <w:rPr>
                <w:noProof/>
                <w:webHidden/>
              </w:rPr>
              <w:t>10</w:t>
            </w:r>
            <w:r>
              <w:rPr>
                <w:noProof/>
                <w:webHidden/>
              </w:rPr>
              <w:fldChar w:fldCharType="end"/>
            </w:r>
          </w:hyperlink>
        </w:p>
        <w:p w14:paraId="0B5359A2" w14:textId="36004B54" w:rsidR="009B4195" w:rsidRDefault="009B4195">
          <w:pPr>
            <w:pStyle w:val="TDC1"/>
            <w:rPr>
              <w:rFonts w:asciiTheme="minorHAnsi" w:hAnsiTheme="minorHAnsi"/>
              <w:sz w:val="22"/>
              <w:szCs w:val="22"/>
              <w:lang w:val="es-ES" w:eastAsia="es-ES"/>
            </w:rPr>
          </w:pPr>
          <w:hyperlink w:anchor="_Toc135410260" w:history="1">
            <w:r w:rsidRPr="000C2ECE">
              <w:rPr>
                <w:rStyle w:val="Hipervnculo"/>
              </w:rPr>
              <w:t>Bibliography</w:t>
            </w:r>
            <w:r>
              <w:rPr>
                <w:webHidden/>
              </w:rPr>
              <w:tab/>
            </w:r>
            <w:r>
              <w:rPr>
                <w:webHidden/>
              </w:rPr>
              <w:fldChar w:fldCharType="begin"/>
            </w:r>
            <w:r>
              <w:rPr>
                <w:webHidden/>
              </w:rPr>
              <w:instrText xml:space="preserve"> PAGEREF _Toc135410260 \h </w:instrText>
            </w:r>
            <w:r>
              <w:rPr>
                <w:webHidden/>
              </w:rPr>
            </w:r>
            <w:r>
              <w:rPr>
                <w:webHidden/>
              </w:rPr>
              <w:fldChar w:fldCharType="separate"/>
            </w:r>
            <w:r>
              <w:rPr>
                <w:webHidden/>
              </w:rPr>
              <w:t>11</w:t>
            </w:r>
            <w:r>
              <w:rPr>
                <w:webHidden/>
              </w:rPr>
              <w:fldChar w:fldCharType="end"/>
            </w:r>
          </w:hyperlink>
        </w:p>
        <w:p w14:paraId="47EFA63A" w14:textId="71E06C44" w:rsidR="00D9245A" w:rsidRDefault="00D9245A">
          <w:r>
            <w:rPr>
              <w:b/>
              <w:bCs/>
              <w:noProof/>
            </w:rPr>
            <w:fldChar w:fldCharType="end"/>
          </w:r>
        </w:p>
      </w:sdtContent>
    </w:sdt>
    <w:p w14:paraId="12326FDD" w14:textId="77777777" w:rsidR="00F62B94" w:rsidRDefault="00F62B94" w:rsidP="00484DDF">
      <w:pPr>
        <w:pStyle w:val="Ttulo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7DDE51A8" w14:textId="77777777" w:rsidR="00262435" w:rsidRDefault="00262435" w:rsidP="00262435"/>
    <w:p w14:paraId="47074B81" w14:textId="77777777" w:rsidR="00262435" w:rsidRDefault="00262435" w:rsidP="00262435"/>
    <w:p w14:paraId="562181E2" w14:textId="77777777" w:rsidR="00262435" w:rsidRDefault="00262435" w:rsidP="00262435"/>
    <w:p w14:paraId="72627677" w14:textId="77777777" w:rsidR="00262435" w:rsidRPr="00262435" w:rsidRDefault="00262435" w:rsidP="00262435"/>
    <w:bookmarkEnd w:id="0"/>
    <w:p w14:paraId="5611CCCA" w14:textId="77777777" w:rsidR="00260523" w:rsidRPr="00260523" w:rsidRDefault="00260523" w:rsidP="00260523">
      <w:pPr>
        <w:rPr>
          <w:lang w:val="en-GB"/>
        </w:rPr>
      </w:pPr>
      <w:r w:rsidRPr="00260523">
        <w:rPr>
          <w:lang w:val="en-GB"/>
        </w:rPr>
        <w:lastRenderedPageBreak/>
        <w:t>Apart from plasma cell myeloma, the plasma cell disorders group includes the following conditions (1):</w:t>
      </w:r>
    </w:p>
    <w:p w14:paraId="03EA4C02" w14:textId="77777777" w:rsidR="00260523" w:rsidRPr="00260523" w:rsidRDefault="00260523" w:rsidP="00260523">
      <w:pPr>
        <w:rPr>
          <w:lang w:val="en-GB"/>
        </w:rPr>
      </w:pPr>
      <w:r w:rsidRPr="00260523">
        <w:rPr>
          <w:lang w:val="en-GB"/>
        </w:rPr>
        <w:t>Plasma cell leukaemia</w:t>
      </w:r>
    </w:p>
    <w:p w14:paraId="4E72AE69" w14:textId="77777777" w:rsidR="00260523" w:rsidRPr="00260523" w:rsidRDefault="00260523" w:rsidP="00260523">
      <w:pPr>
        <w:rPr>
          <w:lang w:val="en-GB"/>
        </w:rPr>
      </w:pPr>
      <w:r w:rsidRPr="00260523">
        <w:rPr>
          <w:lang w:val="en-GB"/>
        </w:rPr>
        <w:t xml:space="preserve">Solitary Plasmacytoma </w:t>
      </w:r>
    </w:p>
    <w:p w14:paraId="2099C923" w14:textId="77777777" w:rsidR="00260523" w:rsidRPr="00260523" w:rsidRDefault="00260523" w:rsidP="00260523">
      <w:pPr>
        <w:rPr>
          <w:lang w:val="en-GB"/>
        </w:rPr>
      </w:pPr>
      <w:r w:rsidRPr="00260523">
        <w:rPr>
          <w:lang w:val="en-GB"/>
        </w:rPr>
        <w:tab/>
        <w:t>Solitary plasmacytoma of bone</w:t>
      </w:r>
    </w:p>
    <w:p w14:paraId="46C61922" w14:textId="77777777" w:rsidR="00260523" w:rsidRPr="00260523" w:rsidRDefault="00260523" w:rsidP="00260523">
      <w:pPr>
        <w:rPr>
          <w:lang w:val="en-GB"/>
        </w:rPr>
      </w:pPr>
      <w:r w:rsidRPr="00260523">
        <w:rPr>
          <w:lang w:val="en-GB"/>
        </w:rPr>
        <w:tab/>
        <w:t xml:space="preserve">Solitary plasmacytoma with minimal marrow involvement </w:t>
      </w:r>
    </w:p>
    <w:p w14:paraId="38BF09E4" w14:textId="77777777" w:rsidR="00260523" w:rsidRPr="00260523" w:rsidRDefault="00260523" w:rsidP="00260523">
      <w:pPr>
        <w:rPr>
          <w:lang w:val="en-GB"/>
        </w:rPr>
      </w:pPr>
      <w:r w:rsidRPr="00260523">
        <w:rPr>
          <w:lang w:val="en-GB"/>
        </w:rPr>
        <w:tab/>
        <w:t xml:space="preserve">Extraosseous plasmacytoma </w:t>
      </w:r>
    </w:p>
    <w:p w14:paraId="13EB2FD2" w14:textId="77777777" w:rsidR="00260523" w:rsidRPr="00260523" w:rsidRDefault="00260523" w:rsidP="00260523">
      <w:pPr>
        <w:rPr>
          <w:lang w:val="en-GB"/>
        </w:rPr>
      </w:pPr>
      <w:r w:rsidRPr="00260523">
        <w:rPr>
          <w:lang w:val="en-GB"/>
        </w:rPr>
        <w:t xml:space="preserve">Monoclonal immunoglobulin deposition diseases    </w:t>
      </w:r>
    </w:p>
    <w:p w14:paraId="40964369" w14:textId="77777777" w:rsidR="00260523" w:rsidRPr="00260523" w:rsidRDefault="00260523" w:rsidP="00260523">
      <w:pPr>
        <w:rPr>
          <w:lang w:val="en-GB"/>
        </w:rPr>
      </w:pPr>
      <w:r w:rsidRPr="00260523">
        <w:rPr>
          <w:lang w:val="en-GB"/>
        </w:rPr>
        <w:tab/>
        <w:t>Primary Amyloidosis</w:t>
      </w:r>
    </w:p>
    <w:p w14:paraId="5FA4EEDB" w14:textId="77777777" w:rsidR="00260523" w:rsidRPr="00260523" w:rsidRDefault="00260523" w:rsidP="00260523">
      <w:pPr>
        <w:rPr>
          <w:lang w:val="en-GB"/>
        </w:rPr>
      </w:pPr>
      <w:r w:rsidRPr="00260523">
        <w:rPr>
          <w:lang w:val="en-GB"/>
        </w:rPr>
        <w:tab/>
        <w:t xml:space="preserve">Light chain and Heavy chain deposition diseases </w:t>
      </w:r>
    </w:p>
    <w:p w14:paraId="5EFA6E24" w14:textId="322D0200" w:rsidR="00E00D4F" w:rsidRPr="00D9245A" w:rsidRDefault="00260523" w:rsidP="00260523">
      <w:pPr>
        <w:rPr>
          <w:lang w:val="en-GB"/>
        </w:rPr>
      </w:pPr>
      <w:r w:rsidRPr="00260523">
        <w:rPr>
          <w:lang w:val="en-GB"/>
        </w:rPr>
        <w:t>POEMS syndrome</w:t>
      </w:r>
    </w:p>
    <w:p w14:paraId="5FB5AB4E" w14:textId="77777777" w:rsidR="00484DDF" w:rsidRPr="00D9245A" w:rsidRDefault="00484DDF" w:rsidP="00E00D4F">
      <w:pPr>
        <w:rPr>
          <w:lang w:val="en-GB"/>
        </w:rPr>
      </w:pPr>
    </w:p>
    <w:p w14:paraId="2391E57F" w14:textId="4F54C3C0" w:rsidR="00484DDF" w:rsidRDefault="00260523" w:rsidP="00484DDF">
      <w:pPr>
        <w:pStyle w:val="Ttulo2"/>
        <w:rPr>
          <w:lang w:val="en-US"/>
        </w:rPr>
      </w:pPr>
      <w:bookmarkStart w:id="2" w:name="_Toc135410244"/>
      <w:r w:rsidRPr="00260523">
        <w:rPr>
          <w:lang w:val="en-US"/>
        </w:rPr>
        <w:t>1. Date of diagnosis</w:t>
      </w:r>
      <w:bookmarkEnd w:id="2"/>
    </w:p>
    <w:p w14:paraId="726D08BB" w14:textId="2984FC42" w:rsidR="00484DDF" w:rsidRPr="00260523" w:rsidRDefault="00260523" w:rsidP="00484DDF">
      <w:pPr>
        <w:rPr>
          <w:lang w:val="en-GB"/>
        </w:rPr>
      </w:pPr>
      <w:r w:rsidRPr="00260523">
        <w:rPr>
          <w:lang w:val="en-GB"/>
        </w:rPr>
        <w:t>Report the date of diagnosis if this was the indication for a treatment. This is often the date on which the bone marrow aspirate and/or biopsy was performed</w:t>
      </w:r>
      <w:r w:rsidR="00484DDF" w:rsidRPr="00260523">
        <w:rPr>
          <w:lang w:val="en-GB"/>
        </w:rPr>
        <w:t>.</w:t>
      </w:r>
    </w:p>
    <w:p w14:paraId="66EC6821" w14:textId="6DCE337C" w:rsidR="00484DDF" w:rsidRDefault="00484DDF" w:rsidP="00484DDF">
      <w:pPr>
        <w:rPr>
          <w:lang w:val="en-GB"/>
        </w:rPr>
      </w:pPr>
    </w:p>
    <w:p w14:paraId="1A9A0F24" w14:textId="20C79F69" w:rsidR="00260523" w:rsidRDefault="00260523" w:rsidP="00260523">
      <w:pPr>
        <w:pStyle w:val="Ttulo2"/>
        <w:rPr>
          <w:lang w:val="en-GB"/>
        </w:rPr>
      </w:pPr>
      <w:bookmarkStart w:id="3" w:name="_Toc135410245"/>
      <w:r w:rsidRPr="00260523">
        <w:rPr>
          <w:lang w:val="en-GB"/>
        </w:rPr>
        <w:t>2. PCD incl. MM Classification</w:t>
      </w:r>
      <w:bookmarkEnd w:id="3"/>
    </w:p>
    <w:p w14:paraId="253B3D69" w14:textId="1618B80D" w:rsidR="00260523" w:rsidRDefault="00260523" w:rsidP="00260523">
      <w:pPr>
        <w:rPr>
          <w:lang w:val="en-GB"/>
        </w:rPr>
      </w:pPr>
      <w:r w:rsidRPr="00260523">
        <w:rPr>
          <w:lang w:val="en-GB"/>
        </w:rPr>
        <w:t>Select the classification of the plasma cell disorder and check the box next to it</w:t>
      </w:r>
      <w:r>
        <w:rPr>
          <w:lang w:val="en-GB"/>
        </w:rPr>
        <w:t>.</w:t>
      </w:r>
    </w:p>
    <w:p w14:paraId="4D598132" w14:textId="77777777" w:rsidR="00260523" w:rsidRPr="00260523" w:rsidRDefault="00260523" w:rsidP="00260523">
      <w:pPr>
        <w:rPr>
          <w:lang w:val="en-GB"/>
        </w:rPr>
      </w:pPr>
    </w:p>
    <w:p w14:paraId="486032F8" w14:textId="11985FB2" w:rsidR="00E00D4F" w:rsidRPr="00F62B94" w:rsidRDefault="00260523" w:rsidP="00101C98">
      <w:pPr>
        <w:pStyle w:val="Ttulo3"/>
        <w:rPr>
          <w:color w:val="auto"/>
          <w:lang w:val="en-US"/>
        </w:rPr>
      </w:pPr>
      <w:bookmarkStart w:id="4" w:name="_Toc135410246"/>
      <w:r w:rsidRPr="00260523">
        <w:rPr>
          <w:color w:val="auto"/>
          <w:lang w:val="en-US"/>
        </w:rPr>
        <w:t>2.1. Multiple myeloma</w:t>
      </w:r>
      <w:bookmarkEnd w:id="4"/>
    </w:p>
    <w:p w14:paraId="2CC9F105" w14:textId="4BDAD2F2" w:rsidR="005D36E1" w:rsidRDefault="00260523" w:rsidP="005D36E1">
      <w:pPr>
        <w:rPr>
          <w:lang w:val="en-GB"/>
        </w:rPr>
      </w:pPr>
      <w:r w:rsidRPr="00260523">
        <w:rPr>
          <w:lang w:val="en-GB"/>
        </w:rPr>
        <w:t>(MM; synonyms: ’Myeloma’, ’</w:t>
      </w:r>
      <w:proofErr w:type="spellStart"/>
      <w:r w:rsidRPr="00260523">
        <w:rPr>
          <w:lang w:val="en-GB"/>
        </w:rPr>
        <w:t>myelomatosis</w:t>
      </w:r>
      <w:proofErr w:type="spellEnd"/>
      <w:r w:rsidRPr="00260523">
        <w:rPr>
          <w:lang w:val="en-GB"/>
        </w:rPr>
        <w:t>’) is a malignant lymphoproliferative disorder arising from a clonal plasma cell population. The malignant cells usually produce a monoclonal immunoglobulin readily identifiable in either the plasma (M-component) or the urine (Bence Jones' protein or urinary light chains). The most common clinical presentation in MM is skeletal damage with lytic bone lesions and generalised osteopenia. Other features include anaemia, hypogammaglobulinemia, renal failure and hypercalcaemia. Indicate the subtype of multiple myeloma by checking the corresponding checkbox or select ‘Unknown’ if this information is not available</w:t>
      </w:r>
      <w:r w:rsidR="00484DDF" w:rsidRPr="00D9245A">
        <w:rPr>
          <w:lang w:val="en-GB"/>
        </w:rPr>
        <w:t>.</w:t>
      </w:r>
    </w:p>
    <w:p w14:paraId="24DB6F79" w14:textId="11503B78" w:rsidR="00260523" w:rsidRDefault="00260523" w:rsidP="005D36E1">
      <w:pPr>
        <w:rPr>
          <w:lang w:val="en-GB"/>
        </w:rPr>
      </w:pPr>
    </w:p>
    <w:p w14:paraId="4E061B26" w14:textId="4AC68EC8" w:rsidR="00260523" w:rsidRDefault="00260523" w:rsidP="00260523">
      <w:pPr>
        <w:pStyle w:val="Ttulo4"/>
        <w:rPr>
          <w:lang w:val="en-GB"/>
        </w:rPr>
      </w:pPr>
      <w:r w:rsidRPr="00260523">
        <w:rPr>
          <w:lang w:val="en-GB"/>
        </w:rPr>
        <w:lastRenderedPageBreak/>
        <w:t>2.1.1. MM (heavy chain and light chain)</w:t>
      </w:r>
    </w:p>
    <w:p w14:paraId="7F381EE0" w14:textId="02F765C6" w:rsidR="00260523" w:rsidRPr="00260523" w:rsidRDefault="00260523" w:rsidP="00260523">
      <w:pPr>
        <w:rPr>
          <w:lang w:val="en-GB"/>
        </w:rPr>
      </w:pPr>
      <w:r w:rsidRPr="00260523">
        <w:rPr>
          <w:lang w:val="en-GB"/>
        </w:rPr>
        <w:t xml:space="preserve">is the most common myeloma subtype in which the malignant plasma cells secrete a complete monoclonal immunoglobulin (M-component) which consists of both a heavy chain (IgG, IgA, </w:t>
      </w:r>
      <w:proofErr w:type="spellStart"/>
      <w:r w:rsidRPr="00260523">
        <w:rPr>
          <w:lang w:val="en-GB"/>
        </w:rPr>
        <w:t>IgD</w:t>
      </w:r>
      <w:proofErr w:type="spellEnd"/>
      <w:r w:rsidRPr="00260523">
        <w:rPr>
          <w:lang w:val="en-GB"/>
        </w:rPr>
        <w:t xml:space="preserve">, IgM or </w:t>
      </w:r>
      <w:proofErr w:type="spellStart"/>
      <w:r w:rsidRPr="00260523">
        <w:rPr>
          <w:lang w:val="en-GB"/>
        </w:rPr>
        <w:t>IgE</w:t>
      </w:r>
      <w:proofErr w:type="spellEnd"/>
      <w:r w:rsidRPr="00260523">
        <w:rPr>
          <w:lang w:val="en-GB"/>
        </w:rPr>
        <w:t xml:space="preserve">) and a light chain (kappa or lambda). The heavy chain is usually either IgG (c.50%) or IgA (c.20%), rarely </w:t>
      </w:r>
      <w:proofErr w:type="spellStart"/>
      <w:r w:rsidRPr="00260523">
        <w:rPr>
          <w:lang w:val="en-GB"/>
        </w:rPr>
        <w:t>IgD</w:t>
      </w:r>
      <w:proofErr w:type="spellEnd"/>
      <w:r w:rsidRPr="00260523">
        <w:rPr>
          <w:lang w:val="en-GB"/>
        </w:rPr>
        <w:t xml:space="preserve"> and very rarely, IgM or </w:t>
      </w:r>
      <w:proofErr w:type="spellStart"/>
      <w:r w:rsidRPr="00260523">
        <w:rPr>
          <w:lang w:val="en-GB"/>
        </w:rPr>
        <w:t>IgE</w:t>
      </w:r>
      <w:proofErr w:type="spellEnd"/>
      <w:r w:rsidRPr="00260523">
        <w:rPr>
          <w:lang w:val="en-GB"/>
        </w:rPr>
        <w:t>.</w:t>
      </w:r>
    </w:p>
    <w:p w14:paraId="3E606B58" w14:textId="27058285" w:rsidR="00260523" w:rsidRDefault="00260523" w:rsidP="00260523">
      <w:pPr>
        <w:rPr>
          <w:lang w:val="en-GB"/>
        </w:rPr>
      </w:pPr>
      <w:r w:rsidRPr="00260523">
        <w:rPr>
          <w:lang w:val="en-GB"/>
        </w:rPr>
        <w:t xml:space="preserve">Please make sure to indicate for this myeloma subclassification both the heavy chain type (IgG, IgA, </w:t>
      </w:r>
      <w:proofErr w:type="spellStart"/>
      <w:r w:rsidRPr="00260523">
        <w:rPr>
          <w:lang w:val="en-GB"/>
        </w:rPr>
        <w:t>IgD</w:t>
      </w:r>
      <w:proofErr w:type="spellEnd"/>
      <w:r w:rsidRPr="00260523">
        <w:rPr>
          <w:lang w:val="en-GB"/>
        </w:rPr>
        <w:t xml:space="preserve">, IgM or </w:t>
      </w:r>
      <w:proofErr w:type="spellStart"/>
      <w:r w:rsidRPr="00260523">
        <w:rPr>
          <w:lang w:val="en-GB"/>
        </w:rPr>
        <w:t>IgE</w:t>
      </w:r>
      <w:proofErr w:type="spellEnd"/>
      <w:r w:rsidRPr="00260523">
        <w:rPr>
          <w:lang w:val="en-GB"/>
        </w:rPr>
        <w:t>) and the light chain type (kappa or lambda).</w:t>
      </w:r>
    </w:p>
    <w:p w14:paraId="0DEC5101" w14:textId="3DEC4EA2" w:rsidR="00260523" w:rsidRDefault="00260523" w:rsidP="00260523">
      <w:pPr>
        <w:rPr>
          <w:lang w:val="en-GB"/>
        </w:rPr>
      </w:pPr>
    </w:p>
    <w:p w14:paraId="2D916A54" w14:textId="0E9F20E5" w:rsidR="00260523" w:rsidRDefault="00260523" w:rsidP="00260523">
      <w:pPr>
        <w:pStyle w:val="Ttulo4"/>
        <w:rPr>
          <w:lang w:val="en-GB"/>
        </w:rPr>
      </w:pPr>
      <w:r w:rsidRPr="00260523">
        <w:rPr>
          <w:lang w:val="en-GB"/>
        </w:rPr>
        <w:t>2.1.2. MM light chain</w:t>
      </w:r>
    </w:p>
    <w:p w14:paraId="09BDB6F4" w14:textId="142BD70C" w:rsidR="00260523" w:rsidRDefault="00260523" w:rsidP="00260523">
      <w:pPr>
        <w:rPr>
          <w:lang w:val="en-GB"/>
        </w:rPr>
      </w:pPr>
      <w:r w:rsidRPr="00260523">
        <w:rPr>
          <w:lang w:val="en-GB"/>
        </w:rPr>
        <w:t xml:space="preserve">is a myeloma subtype where the malignant plasma cells only secrete a light chain component, which can only be either kappa or </w:t>
      </w:r>
      <w:proofErr w:type="gramStart"/>
      <w:r w:rsidRPr="00260523">
        <w:rPr>
          <w:lang w:val="en-GB"/>
        </w:rPr>
        <w:t>lambda.</w:t>
      </w:r>
      <w:proofErr w:type="gramEnd"/>
      <w:r w:rsidRPr="00260523">
        <w:rPr>
          <w:lang w:val="en-GB"/>
        </w:rPr>
        <w:t xml:space="preserve"> This constitutes about 20% of all cases of myeloma. The light chain can either be detected and quantitated in the serum using the Serum Free Light Chain Assay or in the urine by measuring urinary light chain excretion. When entering the classification, please record it as the light chain type.</w:t>
      </w:r>
    </w:p>
    <w:p w14:paraId="70E59955" w14:textId="33385800" w:rsidR="00260523" w:rsidRDefault="00260523" w:rsidP="00260523">
      <w:pPr>
        <w:rPr>
          <w:lang w:val="en-GB"/>
        </w:rPr>
      </w:pPr>
    </w:p>
    <w:p w14:paraId="1394D73D" w14:textId="40A29BB3" w:rsidR="00260523" w:rsidRDefault="00260523" w:rsidP="00260523">
      <w:pPr>
        <w:pStyle w:val="Ttulo4"/>
        <w:rPr>
          <w:lang w:val="en-GB"/>
        </w:rPr>
      </w:pPr>
      <w:r w:rsidRPr="00260523">
        <w:rPr>
          <w:lang w:val="en-GB"/>
        </w:rPr>
        <w:t>2.1.3. MM non-secretory</w:t>
      </w:r>
    </w:p>
    <w:p w14:paraId="393C072E" w14:textId="65BC8CA1" w:rsidR="00260523" w:rsidRDefault="00260523" w:rsidP="00260523">
      <w:pPr>
        <w:rPr>
          <w:lang w:val="en-GB"/>
        </w:rPr>
      </w:pPr>
      <w:r w:rsidRPr="00260523">
        <w:rPr>
          <w:lang w:val="en-GB"/>
        </w:rPr>
        <w:t>(synonym: non-producing) is a myeloma subtype in which no monoclonal protein is detected in either the serum or the urine. The diagnosis is therefore based on a tissue biopsy, usually the bone marrow. Given the sensitivity of the serum free light chain assay, this is quite rare. Do not classify as non-secretory if the serum free light chain assay has not been performed.</w:t>
      </w:r>
    </w:p>
    <w:p w14:paraId="0D6BD847" w14:textId="7D54E2D2" w:rsidR="00260523" w:rsidRDefault="00260523" w:rsidP="00260523">
      <w:pPr>
        <w:rPr>
          <w:lang w:val="en-GB"/>
        </w:rPr>
      </w:pPr>
    </w:p>
    <w:p w14:paraId="3C8E99FC" w14:textId="3ADA1A96" w:rsidR="00260523" w:rsidRDefault="00260523" w:rsidP="00260523">
      <w:pPr>
        <w:pStyle w:val="Ttulo4"/>
        <w:rPr>
          <w:lang w:val="en-GB"/>
        </w:rPr>
      </w:pPr>
      <w:r w:rsidRPr="00260523">
        <w:rPr>
          <w:lang w:val="en-GB"/>
        </w:rPr>
        <w:t>2.1.4. Heavy chain type: IgG-IgA-</w:t>
      </w:r>
      <w:proofErr w:type="spellStart"/>
      <w:r w:rsidRPr="00260523">
        <w:rPr>
          <w:lang w:val="en-GB"/>
        </w:rPr>
        <w:t>IgD</w:t>
      </w:r>
      <w:proofErr w:type="spellEnd"/>
      <w:r w:rsidRPr="00260523">
        <w:rPr>
          <w:lang w:val="en-GB"/>
        </w:rPr>
        <w:t>-</w:t>
      </w:r>
      <w:proofErr w:type="spellStart"/>
      <w:r w:rsidRPr="00260523">
        <w:rPr>
          <w:lang w:val="en-GB"/>
        </w:rPr>
        <w:t>IgE</w:t>
      </w:r>
      <w:proofErr w:type="spellEnd"/>
      <w:r w:rsidRPr="00260523">
        <w:rPr>
          <w:lang w:val="en-GB"/>
        </w:rPr>
        <w:t>-IgM</w:t>
      </w:r>
    </w:p>
    <w:p w14:paraId="455090EF" w14:textId="680803AA" w:rsidR="00260523" w:rsidRPr="00260523" w:rsidRDefault="00260523" w:rsidP="00260523">
      <w:pPr>
        <w:rPr>
          <w:lang w:val="en-GB"/>
        </w:rPr>
      </w:pPr>
      <w:r w:rsidRPr="00260523">
        <w:rPr>
          <w:lang w:val="en-GB"/>
        </w:rPr>
        <w:t xml:space="preserve">Please record the heavy chain type of the M component (= monoclonal protein = monoclonal immunoglobulin = monoclonal Ig) in the </w:t>
      </w:r>
      <w:r w:rsidRPr="00260523">
        <w:rPr>
          <w:b/>
          <w:lang w:val="en-GB"/>
        </w:rPr>
        <w:t>heavy chain and light chain</w:t>
      </w:r>
      <w:r w:rsidRPr="00260523">
        <w:rPr>
          <w:lang w:val="en-GB"/>
        </w:rPr>
        <w:t xml:space="preserve"> type myeloma. It should be left blank for light chain myeloma and for non-secretory myeloma. If the type is unknown, select the corresponding checkbox.</w:t>
      </w:r>
    </w:p>
    <w:p w14:paraId="5C3ACDBF" w14:textId="16D66F15" w:rsidR="00260523" w:rsidRDefault="00260523" w:rsidP="00260523">
      <w:pPr>
        <w:rPr>
          <w:lang w:val="en-GB"/>
        </w:rPr>
      </w:pPr>
      <w:r w:rsidRPr="00260523">
        <w:rPr>
          <w:lang w:val="en-GB"/>
        </w:rPr>
        <w:t xml:space="preserve">Please note that although there is only one M-component in almost all cases, two (for example, IgG and IgA) may rarely appear simultaneously in the serum/plasma. This is termed </w:t>
      </w:r>
      <w:proofErr w:type="spellStart"/>
      <w:r w:rsidRPr="00260523">
        <w:rPr>
          <w:lang w:val="en-GB"/>
        </w:rPr>
        <w:t>biclonal</w:t>
      </w:r>
      <w:proofErr w:type="spellEnd"/>
      <w:r w:rsidRPr="00260523">
        <w:rPr>
          <w:lang w:val="en-GB"/>
        </w:rPr>
        <w:t xml:space="preserve"> myeloma. In these cases, the chain type of the highest value should be entered into the database</w:t>
      </w:r>
      <w:r>
        <w:rPr>
          <w:lang w:val="en-GB"/>
        </w:rPr>
        <w:t>.</w:t>
      </w:r>
    </w:p>
    <w:p w14:paraId="3B70437C" w14:textId="5CD9B121" w:rsidR="004E4357" w:rsidRDefault="004E4357" w:rsidP="00260523">
      <w:pPr>
        <w:rPr>
          <w:lang w:val="en-GB"/>
        </w:rPr>
      </w:pPr>
    </w:p>
    <w:p w14:paraId="266D2AF6" w14:textId="6F849E9D" w:rsidR="004E4357" w:rsidRDefault="004E4357" w:rsidP="004E4357">
      <w:pPr>
        <w:pStyle w:val="Ttulo4"/>
        <w:rPr>
          <w:lang w:val="en-GB"/>
        </w:rPr>
      </w:pPr>
      <w:r w:rsidRPr="004E4357">
        <w:rPr>
          <w:lang w:val="en-GB"/>
        </w:rPr>
        <w:lastRenderedPageBreak/>
        <w:t>2.1.5. Light chain type: Kappa-Lambda</w:t>
      </w:r>
    </w:p>
    <w:p w14:paraId="4DC5E60B" w14:textId="7689FCFC" w:rsidR="004E4357" w:rsidRDefault="004E4357" w:rsidP="004E4357">
      <w:pPr>
        <w:rPr>
          <w:lang w:val="en-GB"/>
        </w:rPr>
      </w:pPr>
      <w:r w:rsidRPr="004E4357">
        <w:rPr>
          <w:lang w:val="en-GB"/>
        </w:rPr>
        <w:t>Please record the type of light chain (kappa or lambda) of the M-component (e.g. IgG kappa, IgG lambda) in light chain myeloma as well as in heavy chain and light chain type myeloma or the type of light chain in either the serum or the urine in light chain myeloma. It should be left blank in non-secretory MM. If the type is unknown, select the corresponding checkbox</w:t>
      </w:r>
      <w:r>
        <w:rPr>
          <w:lang w:val="en-GB"/>
        </w:rPr>
        <w:t>.</w:t>
      </w:r>
    </w:p>
    <w:p w14:paraId="26BB3467" w14:textId="76D619C6" w:rsidR="004E4357" w:rsidRDefault="004E4357" w:rsidP="004E4357">
      <w:pPr>
        <w:rPr>
          <w:lang w:val="en-GB"/>
        </w:rPr>
      </w:pPr>
    </w:p>
    <w:p w14:paraId="0EA7B047" w14:textId="4A2B8558" w:rsidR="004E4357" w:rsidRPr="004E4357" w:rsidRDefault="004E4357" w:rsidP="004E4357">
      <w:pPr>
        <w:pStyle w:val="Ttulo3"/>
        <w:rPr>
          <w:lang w:val="en-GB"/>
        </w:rPr>
      </w:pPr>
      <w:bookmarkStart w:id="5" w:name="_Toc135410247"/>
      <w:r w:rsidRPr="004E4357">
        <w:rPr>
          <w:lang w:val="en-GB"/>
        </w:rPr>
        <w:t>2.2. Plasma cell leukaemia</w:t>
      </w:r>
      <w:bookmarkEnd w:id="5"/>
    </w:p>
    <w:p w14:paraId="5BF8F78B" w14:textId="65266AC6" w:rsidR="00F62B94" w:rsidRDefault="004E4357" w:rsidP="005D36E1">
      <w:pPr>
        <w:rPr>
          <w:lang w:val="en-GB"/>
        </w:rPr>
      </w:pPr>
      <w:r w:rsidRPr="004E4357">
        <w:rPr>
          <w:lang w:val="en-GB"/>
        </w:rPr>
        <w:t>This is a rare aggressive plasma cell disease which is generally treated like myeloma.</w:t>
      </w:r>
    </w:p>
    <w:p w14:paraId="0DDB2991" w14:textId="2BD647EA" w:rsidR="004E4357" w:rsidRDefault="004E4357" w:rsidP="005D36E1">
      <w:pPr>
        <w:rPr>
          <w:lang w:val="en-GB"/>
        </w:rPr>
      </w:pPr>
    </w:p>
    <w:p w14:paraId="5691A43D" w14:textId="02A74F59" w:rsidR="004E4357" w:rsidRDefault="004E4357" w:rsidP="004E4357">
      <w:pPr>
        <w:pStyle w:val="Ttulo3"/>
        <w:rPr>
          <w:lang w:val="en-GB"/>
        </w:rPr>
      </w:pPr>
      <w:bookmarkStart w:id="6" w:name="_Toc135410248"/>
      <w:r w:rsidRPr="004E4357">
        <w:rPr>
          <w:lang w:val="en-GB"/>
        </w:rPr>
        <w:t>2.3. Solitary plasmacytoma (SP)</w:t>
      </w:r>
      <w:bookmarkEnd w:id="6"/>
    </w:p>
    <w:p w14:paraId="55AAA024" w14:textId="498A4D1B" w:rsidR="004E4357" w:rsidRDefault="004E4357" w:rsidP="004E4357">
      <w:pPr>
        <w:rPr>
          <w:lang w:val="en-GB"/>
        </w:rPr>
      </w:pPr>
      <w:r w:rsidRPr="004E4357">
        <w:rPr>
          <w:lang w:val="en-GB"/>
        </w:rPr>
        <w:t>This is a biopsy-proven solitary plasma cell tumour in the bone or soft tissue with evidence of clonal plasma cells. The bone marrow is normal with no evidence of clonal plasma cells. The skeletal survey and MRI (or CT) of spine and pelvis are normal except for the primary lesion. The risk of progression to myeloma is about 10% over the following three years.</w:t>
      </w:r>
    </w:p>
    <w:p w14:paraId="59BCE4A4" w14:textId="3E9C4DA2" w:rsidR="004E4357" w:rsidRDefault="004E4357" w:rsidP="004E4357">
      <w:pPr>
        <w:rPr>
          <w:lang w:val="en-GB"/>
        </w:rPr>
      </w:pPr>
    </w:p>
    <w:p w14:paraId="0D5B0277" w14:textId="4E438BA0" w:rsidR="004E4357" w:rsidRDefault="004E4357" w:rsidP="004E4357">
      <w:pPr>
        <w:rPr>
          <w:lang w:val="en-GB"/>
        </w:rPr>
      </w:pPr>
      <w:r w:rsidRPr="004E4357">
        <w:rPr>
          <w:b/>
          <w:lang w:val="en-GB"/>
        </w:rPr>
        <w:t>Solitary plasmacytoma (SP) with minimal marrow involvement:</w:t>
      </w:r>
      <w:r w:rsidRPr="004E4357">
        <w:rPr>
          <w:lang w:val="en-GB"/>
        </w:rPr>
        <w:t xml:space="preserve"> This is a biopsy-proven solitary plasma cell tumour in the bone or soft tissue with evidence of clonal plasma cells. There are clonal plasma cells within the bone marrow which constitute less than 10% of bone marrow cellularity. The skeletal survey and MRI (or CT) of spine and pelvis are normal except for the primary lesion. The risk of progression to myeloma is about 60% (bone) or 20% (soft tissue) within three years</w:t>
      </w:r>
      <w:r>
        <w:rPr>
          <w:lang w:val="en-GB"/>
        </w:rPr>
        <w:t>.</w:t>
      </w:r>
    </w:p>
    <w:p w14:paraId="105060C1" w14:textId="769C879A" w:rsidR="004E4357" w:rsidRDefault="004E4357" w:rsidP="004E4357">
      <w:pPr>
        <w:rPr>
          <w:lang w:val="en-GB"/>
        </w:rPr>
      </w:pPr>
    </w:p>
    <w:p w14:paraId="6E0B27B0" w14:textId="679BBCA8" w:rsidR="004E4357" w:rsidRDefault="004E4357" w:rsidP="004E4357">
      <w:pPr>
        <w:pStyle w:val="Ttulo3"/>
        <w:rPr>
          <w:lang w:val="en-GB"/>
        </w:rPr>
      </w:pPr>
      <w:bookmarkStart w:id="7" w:name="_Toc135410249"/>
      <w:r w:rsidRPr="004E4357">
        <w:rPr>
          <w:lang w:val="en-GB"/>
        </w:rPr>
        <w:t>2.4. Systemic AL Amyloidosis</w:t>
      </w:r>
      <w:bookmarkEnd w:id="7"/>
    </w:p>
    <w:p w14:paraId="0D143DE3" w14:textId="16818D72" w:rsidR="004E4357" w:rsidRPr="004E4357" w:rsidRDefault="004E4357" w:rsidP="004E4357">
      <w:pPr>
        <w:rPr>
          <w:lang w:val="en-GB"/>
        </w:rPr>
      </w:pPr>
      <w:r w:rsidRPr="004E4357">
        <w:rPr>
          <w:lang w:val="en-GB"/>
        </w:rPr>
        <w:t xml:space="preserve">This is characterised by the presence of an amyloid-related systemic syndrome e.g. renal, liver, heart, gastrointestinal tract, or peripheral nerve involvement and positive staining for Amyloid by Congo red in any tissue e.g. fat aspirate, bone marrow, or organ biopsy. </w:t>
      </w:r>
    </w:p>
    <w:p w14:paraId="5C96E536" w14:textId="77777777" w:rsidR="004E4357" w:rsidRPr="004E4357" w:rsidRDefault="004E4357" w:rsidP="004E4357">
      <w:pPr>
        <w:rPr>
          <w:lang w:val="en-GB"/>
        </w:rPr>
      </w:pPr>
      <w:r w:rsidRPr="004E4357">
        <w:rPr>
          <w:lang w:val="en-GB"/>
        </w:rPr>
        <w:t xml:space="preserve">As both wild-type and mutant ATTR amyloidosis, other distinct non-clonal forms of amyloidosis, are now diagnosed more frequently, the diagnosis of light chain amyloidosis requires that the Amyloid deposit be shown to be light-chain-related by direct examination by either immunohistochemical staining of the amyloid deposits using monospecific antibodies, mass spectrometry-based proteomic analysis, or immunoelectron microscopy. </w:t>
      </w:r>
    </w:p>
    <w:p w14:paraId="23E427DA" w14:textId="77777777" w:rsidR="004E4357" w:rsidRPr="004E4357" w:rsidRDefault="004E4357" w:rsidP="004E4357">
      <w:pPr>
        <w:rPr>
          <w:lang w:val="en-GB"/>
        </w:rPr>
      </w:pPr>
    </w:p>
    <w:p w14:paraId="316E3510" w14:textId="766FE71D" w:rsidR="004E4357" w:rsidRDefault="004E4357" w:rsidP="004E4357">
      <w:pPr>
        <w:rPr>
          <w:lang w:val="en-GB"/>
        </w:rPr>
      </w:pPr>
      <w:r w:rsidRPr="004E4357">
        <w:rPr>
          <w:lang w:val="en-GB"/>
        </w:rPr>
        <w:lastRenderedPageBreak/>
        <w:t>Other evidence of a monoclonal plasma cell proliferative disorder includes the presence of a serum or urine monoclonal protein, an abnormal free light-chain ratio, or clonal plasma cells in the bone marrow</w:t>
      </w:r>
      <w:r>
        <w:rPr>
          <w:lang w:val="en-GB"/>
        </w:rPr>
        <w:t>.</w:t>
      </w:r>
    </w:p>
    <w:p w14:paraId="3E023CEB" w14:textId="76E7E719" w:rsidR="004E4357" w:rsidRDefault="004E4357" w:rsidP="004E4357">
      <w:pPr>
        <w:rPr>
          <w:lang w:val="en-GB"/>
        </w:rPr>
      </w:pPr>
    </w:p>
    <w:p w14:paraId="3999A138" w14:textId="5CA16321" w:rsidR="004E4357" w:rsidRDefault="004E4357" w:rsidP="004E4357">
      <w:pPr>
        <w:pStyle w:val="Ttulo3"/>
        <w:rPr>
          <w:lang w:val="en-GB"/>
        </w:rPr>
      </w:pPr>
      <w:bookmarkStart w:id="8" w:name="_Toc135410250"/>
      <w:r w:rsidRPr="004E4357">
        <w:rPr>
          <w:lang w:val="en-GB"/>
        </w:rPr>
        <w:t>2.5. Monoclonal light and heavy chain deposition disease (LCDD, LHCDD and HCDD)</w:t>
      </w:r>
      <w:bookmarkEnd w:id="8"/>
    </w:p>
    <w:p w14:paraId="3D5E72C0" w14:textId="7499E9DE" w:rsidR="004E4357" w:rsidRDefault="004E4357" w:rsidP="004E4357">
      <w:pPr>
        <w:rPr>
          <w:lang w:val="en-GB"/>
        </w:rPr>
      </w:pPr>
      <w:r w:rsidRPr="004E4357">
        <w:rPr>
          <w:lang w:val="en-GB"/>
        </w:rPr>
        <w:t>A rare non-amyloid monoclonal immunoglobulin deposition disease characterized by secretion of abnormal light and heavy chains, which are deposited in tissues and cause organ dysfunction, but do not form amyloid beta-pleated sheets or produce an amyloid P component. The condition most frequently occurs in association with multiple myeloma. The kidneys are most commonly affected (clinically manifesting as nephrotic syndrome and renal failure), but liver, heart, peripheral nerves, blood vessels, and joints may also be involved</w:t>
      </w:r>
      <w:r>
        <w:rPr>
          <w:lang w:val="en-GB"/>
        </w:rPr>
        <w:t>.</w:t>
      </w:r>
    </w:p>
    <w:p w14:paraId="4FADE25B" w14:textId="5CD1AEE0" w:rsidR="004E4357" w:rsidRDefault="004E4357" w:rsidP="004E4357">
      <w:pPr>
        <w:rPr>
          <w:lang w:val="en-GB"/>
        </w:rPr>
      </w:pPr>
    </w:p>
    <w:p w14:paraId="732E9DD7" w14:textId="0CFF9443" w:rsidR="004E4357" w:rsidRDefault="004E4357" w:rsidP="004E4357">
      <w:pPr>
        <w:pStyle w:val="Ttulo3"/>
        <w:rPr>
          <w:lang w:val="en-GB"/>
        </w:rPr>
      </w:pPr>
      <w:bookmarkStart w:id="9" w:name="_Toc135410251"/>
      <w:r w:rsidRPr="004E4357">
        <w:rPr>
          <w:lang w:val="en-GB"/>
        </w:rPr>
        <w:t>2.6. POEMS</w:t>
      </w:r>
      <w:bookmarkEnd w:id="9"/>
    </w:p>
    <w:p w14:paraId="023045E6" w14:textId="77777777" w:rsidR="004E4357" w:rsidRPr="004E4357" w:rsidRDefault="004E4357" w:rsidP="004E4357">
      <w:pPr>
        <w:rPr>
          <w:lang w:val="en-GB"/>
        </w:rPr>
      </w:pPr>
      <w:r w:rsidRPr="004E4357">
        <w:rPr>
          <w:lang w:val="en-GB"/>
        </w:rPr>
        <w:t>(Polyneuropathy, Organomegaly, Endocrinopathy/</w:t>
      </w:r>
      <w:proofErr w:type="spellStart"/>
      <w:r w:rsidRPr="004E4357">
        <w:rPr>
          <w:lang w:val="en-GB"/>
        </w:rPr>
        <w:t>edema</w:t>
      </w:r>
      <w:proofErr w:type="spellEnd"/>
      <w:r w:rsidRPr="004E4357">
        <w:rPr>
          <w:lang w:val="en-GB"/>
        </w:rPr>
        <w:t xml:space="preserve">, Monoclonal-protein, Skin changes):  POEMS can affect multiple systems in the body. It is characterised by the following features: </w:t>
      </w:r>
    </w:p>
    <w:p w14:paraId="10F63BA9" w14:textId="77777777" w:rsidR="004E4357" w:rsidRPr="004E4357" w:rsidRDefault="004E4357" w:rsidP="004E4357">
      <w:pPr>
        <w:rPr>
          <w:lang w:val="en-GB"/>
        </w:rPr>
      </w:pPr>
      <w:r w:rsidRPr="004E4357">
        <w:rPr>
          <w:lang w:val="en-GB"/>
        </w:rPr>
        <w:t xml:space="preserve">Polyneuropathy </w:t>
      </w:r>
    </w:p>
    <w:p w14:paraId="515B713A" w14:textId="77777777" w:rsidR="004E4357" w:rsidRPr="004E4357" w:rsidRDefault="004E4357" w:rsidP="004E4357">
      <w:pPr>
        <w:rPr>
          <w:lang w:val="en-GB"/>
        </w:rPr>
      </w:pPr>
      <w:r w:rsidRPr="004E4357">
        <w:rPr>
          <w:lang w:val="en-GB"/>
        </w:rPr>
        <w:t xml:space="preserve">Monoclonal plasma cell proliferative disorder (almost always λ) </w:t>
      </w:r>
    </w:p>
    <w:p w14:paraId="5D01D819" w14:textId="77777777" w:rsidR="004E4357" w:rsidRDefault="004E4357" w:rsidP="004E4357">
      <w:pPr>
        <w:rPr>
          <w:lang w:val="en-GB"/>
        </w:rPr>
      </w:pPr>
      <w:r w:rsidRPr="004E4357">
        <w:rPr>
          <w:lang w:val="en-GB"/>
        </w:rPr>
        <w:t xml:space="preserve">Any one of the following three other major criteria: </w:t>
      </w:r>
    </w:p>
    <w:p w14:paraId="2933FE61" w14:textId="77777777" w:rsidR="004E4357" w:rsidRDefault="004E4357" w:rsidP="004E4357">
      <w:pPr>
        <w:ind w:firstLine="708"/>
        <w:rPr>
          <w:lang w:val="en-GB"/>
        </w:rPr>
      </w:pPr>
      <w:r w:rsidRPr="004E4357">
        <w:rPr>
          <w:lang w:val="en-GB"/>
        </w:rPr>
        <w:t xml:space="preserve">Sclerotic bone lesions </w:t>
      </w:r>
    </w:p>
    <w:p w14:paraId="1ED59D50" w14:textId="77777777" w:rsidR="004E4357" w:rsidRDefault="004E4357" w:rsidP="004E4357">
      <w:pPr>
        <w:ind w:firstLine="708"/>
        <w:rPr>
          <w:lang w:val="en-GB"/>
        </w:rPr>
      </w:pPr>
      <w:r w:rsidRPr="004E4357">
        <w:rPr>
          <w:lang w:val="en-GB"/>
        </w:rPr>
        <w:t xml:space="preserve">Castleman’s disease </w:t>
      </w:r>
    </w:p>
    <w:p w14:paraId="455C4821" w14:textId="3E8F69AB" w:rsidR="004E4357" w:rsidRPr="004E4357" w:rsidRDefault="004E4357" w:rsidP="004E4357">
      <w:pPr>
        <w:ind w:firstLine="708"/>
        <w:rPr>
          <w:lang w:val="en-GB"/>
        </w:rPr>
      </w:pPr>
      <w:r w:rsidRPr="004E4357">
        <w:rPr>
          <w:lang w:val="en-GB"/>
        </w:rPr>
        <w:t>Elevated levels of VEGF</w:t>
      </w:r>
    </w:p>
    <w:p w14:paraId="0047EA8A" w14:textId="77777777" w:rsidR="004E4357" w:rsidRPr="004E4357" w:rsidRDefault="004E4357" w:rsidP="004E4357">
      <w:pPr>
        <w:rPr>
          <w:lang w:val="en-GB"/>
        </w:rPr>
      </w:pPr>
    </w:p>
    <w:p w14:paraId="18BCA1F2" w14:textId="77777777" w:rsidR="004E4357" w:rsidRDefault="004E4357" w:rsidP="004E4357">
      <w:pPr>
        <w:rPr>
          <w:lang w:val="en-GB"/>
        </w:rPr>
      </w:pPr>
      <w:r w:rsidRPr="004E4357">
        <w:rPr>
          <w:lang w:val="en-GB"/>
        </w:rPr>
        <w:t xml:space="preserve">Any one of the following six minor criteria: </w:t>
      </w:r>
    </w:p>
    <w:p w14:paraId="49DCEADF" w14:textId="77777777" w:rsidR="004E4357" w:rsidRDefault="004E4357" w:rsidP="004E4357">
      <w:pPr>
        <w:ind w:firstLine="708"/>
        <w:rPr>
          <w:lang w:val="en-GB"/>
        </w:rPr>
      </w:pPr>
      <w:r w:rsidRPr="004E4357">
        <w:rPr>
          <w:lang w:val="en-GB"/>
        </w:rPr>
        <w:t xml:space="preserve">Organomegaly (splenomegaly, hepatomegaly, or lymphadenopathy) </w:t>
      </w:r>
    </w:p>
    <w:p w14:paraId="50FD7055" w14:textId="77777777" w:rsidR="004E4357" w:rsidRDefault="004E4357" w:rsidP="004E4357">
      <w:pPr>
        <w:ind w:firstLine="708"/>
        <w:rPr>
          <w:lang w:val="en-GB"/>
        </w:rPr>
      </w:pPr>
      <w:r w:rsidRPr="004E4357">
        <w:rPr>
          <w:lang w:val="en-GB"/>
        </w:rPr>
        <w:t xml:space="preserve">Extravascular volume overload (oedema, pleural effusion, or ascites) </w:t>
      </w:r>
    </w:p>
    <w:p w14:paraId="7E3D27C9" w14:textId="77777777" w:rsidR="004E4357" w:rsidRDefault="004E4357" w:rsidP="004E4357">
      <w:pPr>
        <w:ind w:firstLine="708"/>
        <w:rPr>
          <w:lang w:val="en-GB"/>
        </w:rPr>
      </w:pPr>
      <w:r w:rsidRPr="004E4357">
        <w:rPr>
          <w:lang w:val="en-GB"/>
        </w:rPr>
        <w:t>Endocrinopathy (adrenal, thyroid, pituitary, gonadal, parathyroid, pancreatic)</w:t>
      </w:r>
    </w:p>
    <w:p w14:paraId="65DDFB1F" w14:textId="77777777" w:rsidR="004E4357" w:rsidRDefault="004E4357" w:rsidP="004E4357">
      <w:pPr>
        <w:ind w:left="708"/>
        <w:rPr>
          <w:lang w:val="en-GB"/>
        </w:rPr>
      </w:pPr>
      <w:r w:rsidRPr="004E4357">
        <w:rPr>
          <w:lang w:val="en-GB"/>
        </w:rPr>
        <w:t xml:space="preserve">Skin changes (hyperpigmentation, hypertrichosis, </w:t>
      </w:r>
      <w:proofErr w:type="spellStart"/>
      <w:r w:rsidRPr="004E4357">
        <w:rPr>
          <w:lang w:val="en-GB"/>
        </w:rPr>
        <w:t>glomeruloid</w:t>
      </w:r>
      <w:proofErr w:type="spellEnd"/>
      <w:r w:rsidRPr="004E4357">
        <w:rPr>
          <w:lang w:val="en-GB"/>
        </w:rPr>
        <w:t xml:space="preserve"> haemangiomata, plethora,</w:t>
      </w:r>
      <w:r>
        <w:rPr>
          <w:lang w:val="en-GB"/>
        </w:rPr>
        <w:t xml:space="preserve"> </w:t>
      </w:r>
      <w:r w:rsidRPr="004E4357">
        <w:rPr>
          <w:lang w:val="en-GB"/>
        </w:rPr>
        <w:t xml:space="preserve">acrocyanosis, flushing, white nails) </w:t>
      </w:r>
    </w:p>
    <w:p w14:paraId="6CEF91DA" w14:textId="77777777" w:rsidR="004E4357" w:rsidRDefault="004E4357" w:rsidP="004E4357">
      <w:pPr>
        <w:ind w:left="708"/>
        <w:rPr>
          <w:lang w:val="en-GB"/>
        </w:rPr>
      </w:pPr>
      <w:proofErr w:type="spellStart"/>
      <w:r w:rsidRPr="004E4357">
        <w:rPr>
          <w:lang w:val="en-GB"/>
        </w:rPr>
        <w:t>Papilloedema</w:t>
      </w:r>
      <w:proofErr w:type="spellEnd"/>
      <w:r w:rsidRPr="004E4357">
        <w:rPr>
          <w:lang w:val="en-GB"/>
        </w:rPr>
        <w:t xml:space="preserve"> </w:t>
      </w:r>
    </w:p>
    <w:p w14:paraId="43E7961F" w14:textId="3DBB3FE6" w:rsidR="004E4357" w:rsidRDefault="004E4357" w:rsidP="004E4357">
      <w:pPr>
        <w:ind w:left="708"/>
        <w:rPr>
          <w:lang w:val="en-GB"/>
        </w:rPr>
      </w:pPr>
      <w:r w:rsidRPr="004E4357">
        <w:rPr>
          <w:lang w:val="en-GB"/>
        </w:rPr>
        <w:lastRenderedPageBreak/>
        <w:t>Thrombocytosis/polycythaemia</w:t>
      </w:r>
    </w:p>
    <w:p w14:paraId="557D3349" w14:textId="686E17B2" w:rsidR="004E4357" w:rsidRDefault="004E4357" w:rsidP="004E4357">
      <w:pPr>
        <w:rPr>
          <w:lang w:val="en-GB"/>
        </w:rPr>
      </w:pPr>
    </w:p>
    <w:p w14:paraId="629005EB" w14:textId="3664E1A0" w:rsidR="004E4357" w:rsidRDefault="004E4357" w:rsidP="004E4357">
      <w:pPr>
        <w:pStyle w:val="Ttulo3"/>
        <w:rPr>
          <w:lang w:val="en-GB"/>
        </w:rPr>
      </w:pPr>
      <w:bookmarkStart w:id="10" w:name="_Toc135410252"/>
      <w:r w:rsidRPr="004E4357">
        <w:rPr>
          <w:lang w:val="en-GB"/>
        </w:rPr>
        <w:t>2.7. Other</w:t>
      </w:r>
      <w:bookmarkEnd w:id="10"/>
    </w:p>
    <w:p w14:paraId="6FAA8477" w14:textId="031BFC20" w:rsidR="004E4357" w:rsidRPr="004E4357" w:rsidRDefault="004E4357" w:rsidP="004E4357">
      <w:pPr>
        <w:rPr>
          <w:lang w:val="en-GB"/>
        </w:rPr>
      </w:pPr>
      <w:r w:rsidRPr="004E4357">
        <w:rPr>
          <w:lang w:val="en-GB"/>
        </w:rPr>
        <w:t xml:space="preserve">If the classification of plasma cell disorder is not listed, check the box “Other” and specify it (e.g. </w:t>
      </w:r>
      <w:proofErr w:type="spellStart"/>
      <w:r w:rsidRPr="004E4357">
        <w:rPr>
          <w:lang w:val="en-GB"/>
        </w:rPr>
        <w:t>Nemalinic</w:t>
      </w:r>
      <w:proofErr w:type="spellEnd"/>
      <w:r w:rsidRPr="004E4357">
        <w:rPr>
          <w:lang w:val="en-GB"/>
        </w:rPr>
        <w:t xml:space="preserve"> myopathy should be registered under “Other”). </w:t>
      </w:r>
    </w:p>
    <w:p w14:paraId="10DACBF9" w14:textId="63A40375" w:rsidR="004E4357" w:rsidRPr="004E4357" w:rsidRDefault="004E4357" w:rsidP="004E4357">
      <w:pPr>
        <w:rPr>
          <w:lang w:val="en-GB"/>
        </w:rPr>
      </w:pPr>
      <w:r w:rsidRPr="004E4357">
        <w:rPr>
          <w:lang w:val="en-GB"/>
        </w:rPr>
        <w:t xml:space="preserve">Note: rarely, plasmacytomas can occur on different sites simultaneously. This would be called “multiple plasmacytomas”. Bone marrow infiltration must be excluded. </w:t>
      </w:r>
    </w:p>
    <w:p w14:paraId="15CB134B" w14:textId="16F140F3" w:rsidR="004E4357" w:rsidRDefault="004E4357" w:rsidP="004E4357">
      <w:pPr>
        <w:rPr>
          <w:lang w:val="en-GB"/>
        </w:rPr>
      </w:pPr>
      <w:r w:rsidRPr="004E4357">
        <w:rPr>
          <w:lang w:val="en-GB"/>
        </w:rPr>
        <w:t>Below is a table to help with the registration of the PCD diagnosis if multiple PCD have been diagnosed in the patient history</w:t>
      </w:r>
      <w:r>
        <w:rPr>
          <w:lang w:val="en-GB"/>
        </w:rPr>
        <w:t>:</w:t>
      </w:r>
    </w:p>
    <w:p w14:paraId="40556EB0" w14:textId="2884298F" w:rsidR="004E4357" w:rsidRDefault="004E4357" w:rsidP="004E4357">
      <w:pPr>
        <w:rPr>
          <w:lang w:val="en-G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6075"/>
      </w:tblGrid>
      <w:tr w:rsidR="004E4357" w:rsidRPr="004129D5" w14:paraId="5DD23E06" w14:textId="77777777" w:rsidTr="006E69F4">
        <w:trPr>
          <w:trHeight w:val="420"/>
        </w:trPr>
        <w:tc>
          <w:tcPr>
            <w:tcW w:w="9000" w:type="dxa"/>
            <w:gridSpan w:val="2"/>
            <w:shd w:val="clear" w:color="auto" w:fill="auto"/>
            <w:tcMar>
              <w:top w:w="100" w:type="dxa"/>
              <w:left w:w="100" w:type="dxa"/>
              <w:bottom w:w="100" w:type="dxa"/>
              <w:right w:w="100" w:type="dxa"/>
            </w:tcMar>
          </w:tcPr>
          <w:p w14:paraId="5E7C338B" w14:textId="77777777" w:rsidR="004E4357" w:rsidRPr="004E4357" w:rsidRDefault="004E4357" w:rsidP="006E69F4">
            <w:pPr>
              <w:widowControl w:val="0"/>
              <w:pBdr>
                <w:top w:val="nil"/>
                <w:left w:val="nil"/>
                <w:bottom w:val="nil"/>
                <w:right w:val="nil"/>
                <w:between w:val="nil"/>
              </w:pBdr>
              <w:spacing w:line="240" w:lineRule="auto"/>
              <w:rPr>
                <w:b/>
                <w:lang w:val="en-GB"/>
              </w:rPr>
            </w:pPr>
            <w:r w:rsidRPr="004E4357">
              <w:rPr>
                <w:b/>
                <w:lang w:val="en-GB"/>
              </w:rPr>
              <w:t>Main diagnosis is Multiple Myeloma (MM), this is the usual indication for transplant</w:t>
            </w:r>
          </w:p>
        </w:tc>
      </w:tr>
      <w:tr w:rsidR="004E4357" w14:paraId="2252E6B7" w14:textId="77777777" w:rsidTr="006E69F4">
        <w:trPr>
          <w:trHeight w:val="420"/>
        </w:trPr>
        <w:tc>
          <w:tcPr>
            <w:tcW w:w="9000" w:type="dxa"/>
            <w:gridSpan w:val="2"/>
            <w:shd w:val="clear" w:color="auto" w:fill="auto"/>
            <w:tcMar>
              <w:top w:w="100" w:type="dxa"/>
              <w:left w:w="100" w:type="dxa"/>
              <w:bottom w:w="100" w:type="dxa"/>
              <w:right w:w="100" w:type="dxa"/>
            </w:tcMar>
          </w:tcPr>
          <w:p w14:paraId="65A266E9" w14:textId="77777777" w:rsidR="004E4357" w:rsidRDefault="004E4357" w:rsidP="006E69F4">
            <w:pPr>
              <w:widowControl w:val="0"/>
              <w:pBdr>
                <w:top w:val="nil"/>
                <w:left w:val="nil"/>
                <w:bottom w:val="nil"/>
                <w:right w:val="nil"/>
                <w:between w:val="nil"/>
              </w:pBdr>
              <w:spacing w:line="240" w:lineRule="auto"/>
            </w:pPr>
            <w:proofErr w:type="spellStart"/>
            <w:r>
              <w:rPr>
                <w:b/>
              </w:rPr>
              <w:t>Plasmacytoma</w:t>
            </w:r>
            <w:proofErr w:type="spellEnd"/>
            <w:r>
              <w:t>:</w:t>
            </w:r>
          </w:p>
        </w:tc>
      </w:tr>
      <w:tr w:rsidR="004E4357" w:rsidRPr="004129D5" w14:paraId="7CECCEC4" w14:textId="77777777" w:rsidTr="006E69F4">
        <w:tc>
          <w:tcPr>
            <w:tcW w:w="2925" w:type="dxa"/>
            <w:shd w:val="clear" w:color="auto" w:fill="auto"/>
            <w:tcMar>
              <w:top w:w="100" w:type="dxa"/>
              <w:left w:w="100" w:type="dxa"/>
              <w:bottom w:w="100" w:type="dxa"/>
              <w:right w:w="100" w:type="dxa"/>
            </w:tcMar>
          </w:tcPr>
          <w:p w14:paraId="6169CDCD" w14:textId="77777777" w:rsidR="004E4357" w:rsidRDefault="004E4357" w:rsidP="006E69F4">
            <w:pPr>
              <w:widowControl w:val="0"/>
              <w:pBdr>
                <w:top w:val="nil"/>
                <w:left w:val="nil"/>
                <w:bottom w:val="nil"/>
                <w:right w:val="nil"/>
                <w:between w:val="nil"/>
              </w:pBdr>
              <w:spacing w:line="240" w:lineRule="auto"/>
            </w:pPr>
            <w:r>
              <w:t xml:space="preserve">Precedes </w:t>
            </w:r>
            <w:proofErr w:type="spellStart"/>
            <w:r>
              <w:t>the</w:t>
            </w:r>
            <w:proofErr w:type="spellEnd"/>
            <w:r>
              <w:t xml:space="preserve"> MM diagnosis</w:t>
            </w:r>
          </w:p>
        </w:tc>
        <w:tc>
          <w:tcPr>
            <w:tcW w:w="6075" w:type="dxa"/>
            <w:shd w:val="clear" w:color="auto" w:fill="auto"/>
            <w:tcMar>
              <w:top w:w="100" w:type="dxa"/>
              <w:left w:w="100" w:type="dxa"/>
              <w:bottom w:w="100" w:type="dxa"/>
              <w:right w:w="100" w:type="dxa"/>
            </w:tcMar>
          </w:tcPr>
          <w:p w14:paraId="33090AB7"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The plasmacytoma is not considered the indication for the transplant and we do not require that it be registered</w:t>
            </w:r>
          </w:p>
        </w:tc>
      </w:tr>
      <w:tr w:rsidR="004E4357" w14:paraId="5EBE729D" w14:textId="77777777" w:rsidTr="006E69F4">
        <w:trPr>
          <w:trHeight w:val="420"/>
        </w:trPr>
        <w:tc>
          <w:tcPr>
            <w:tcW w:w="9000" w:type="dxa"/>
            <w:gridSpan w:val="2"/>
            <w:shd w:val="clear" w:color="auto" w:fill="auto"/>
            <w:tcMar>
              <w:top w:w="100" w:type="dxa"/>
              <w:left w:w="100" w:type="dxa"/>
              <w:bottom w:w="100" w:type="dxa"/>
              <w:right w:w="100" w:type="dxa"/>
            </w:tcMar>
          </w:tcPr>
          <w:p w14:paraId="23C52F90" w14:textId="77777777" w:rsidR="004E4357" w:rsidRDefault="004E4357" w:rsidP="006E69F4">
            <w:pPr>
              <w:widowControl w:val="0"/>
              <w:pBdr>
                <w:top w:val="nil"/>
                <w:left w:val="nil"/>
                <w:bottom w:val="nil"/>
                <w:right w:val="nil"/>
                <w:between w:val="nil"/>
              </w:pBdr>
              <w:spacing w:line="240" w:lineRule="auto"/>
            </w:pPr>
            <w:r>
              <w:rPr>
                <w:b/>
              </w:rPr>
              <w:t>POEMS</w:t>
            </w:r>
            <w:r>
              <w:t>:</w:t>
            </w:r>
          </w:p>
        </w:tc>
      </w:tr>
      <w:tr w:rsidR="004E4357" w:rsidRPr="004129D5" w14:paraId="4C1C7206" w14:textId="77777777" w:rsidTr="006E69F4">
        <w:tc>
          <w:tcPr>
            <w:tcW w:w="2925" w:type="dxa"/>
            <w:shd w:val="clear" w:color="auto" w:fill="auto"/>
            <w:tcMar>
              <w:top w:w="100" w:type="dxa"/>
              <w:left w:w="100" w:type="dxa"/>
              <w:bottom w:w="100" w:type="dxa"/>
              <w:right w:w="100" w:type="dxa"/>
            </w:tcMar>
          </w:tcPr>
          <w:p w14:paraId="4B3FDFEE"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Simultaneous to the MM diagnosis</w:t>
            </w:r>
          </w:p>
        </w:tc>
        <w:tc>
          <w:tcPr>
            <w:tcW w:w="6075" w:type="dxa"/>
            <w:shd w:val="clear" w:color="auto" w:fill="auto"/>
            <w:tcMar>
              <w:top w:w="100" w:type="dxa"/>
              <w:left w:w="100" w:type="dxa"/>
              <w:bottom w:w="100" w:type="dxa"/>
              <w:right w:w="100" w:type="dxa"/>
            </w:tcMar>
          </w:tcPr>
          <w:p w14:paraId="6C7E80B4"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This would be considered as POEMS, and POEMS should be registered as indication for transplant</w:t>
            </w:r>
          </w:p>
        </w:tc>
      </w:tr>
      <w:tr w:rsidR="004E4357" w:rsidRPr="004129D5" w14:paraId="79738B04" w14:textId="77777777" w:rsidTr="006E69F4">
        <w:tc>
          <w:tcPr>
            <w:tcW w:w="2925" w:type="dxa"/>
            <w:shd w:val="clear" w:color="auto" w:fill="auto"/>
            <w:tcMar>
              <w:top w:w="100" w:type="dxa"/>
              <w:left w:w="100" w:type="dxa"/>
              <w:bottom w:w="100" w:type="dxa"/>
              <w:right w:w="100" w:type="dxa"/>
            </w:tcMar>
          </w:tcPr>
          <w:p w14:paraId="7A4F3B19" w14:textId="77777777" w:rsidR="004E4357" w:rsidRDefault="004E4357" w:rsidP="006E69F4">
            <w:pPr>
              <w:widowControl w:val="0"/>
              <w:pBdr>
                <w:top w:val="nil"/>
                <w:left w:val="nil"/>
                <w:bottom w:val="nil"/>
                <w:right w:val="nil"/>
                <w:between w:val="nil"/>
              </w:pBdr>
              <w:spacing w:line="240" w:lineRule="auto"/>
            </w:pPr>
            <w:r>
              <w:t xml:space="preserve">After </w:t>
            </w:r>
            <w:proofErr w:type="spellStart"/>
            <w:r>
              <w:t>transplant</w:t>
            </w:r>
            <w:proofErr w:type="spellEnd"/>
            <w:r>
              <w:t xml:space="preserve"> </w:t>
            </w:r>
            <w:proofErr w:type="spellStart"/>
            <w:r>
              <w:t>for</w:t>
            </w:r>
            <w:proofErr w:type="spellEnd"/>
            <w:r>
              <w:t xml:space="preserve"> MM</w:t>
            </w:r>
          </w:p>
        </w:tc>
        <w:tc>
          <w:tcPr>
            <w:tcW w:w="6075" w:type="dxa"/>
            <w:shd w:val="clear" w:color="auto" w:fill="auto"/>
            <w:tcMar>
              <w:top w:w="100" w:type="dxa"/>
              <w:left w:w="100" w:type="dxa"/>
              <w:bottom w:w="100" w:type="dxa"/>
              <w:right w:w="100" w:type="dxa"/>
            </w:tcMar>
          </w:tcPr>
          <w:p w14:paraId="4C9B3600"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POEMS, to be registered as secondary malignancy</w:t>
            </w:r>
          </w:p>
        </w:tc>
      </w:tr>
      <w:tr w:rsidR="004E4357" w:rsidRPr="004129D5" w14:paraId="53CA43D7" w14:textId="77777777" w:rsidTr="006E69F4">
        <w:trPr>
          <w:trHeight w:val="420"/>
        </w:trPr>
        <w:tc>
          <w:tcPr>
            <w:tcW w:w="9000" w:type="dxa"/>
            <w:gridSpan w:val="2"/>
            <w:shd w:val="clear" w:color="auto" w:fill="auto"/>
            <w:tcMar>
              <w:top w:w="100" w:type="dxa"/>
              <w:left w:w="100" w:type="dxa"/>
              <w:bottom w:w="100" w:type="dxa"/>
              <w:right w:w="100" w:type="dxa"/>
            </w:tcMar>
          </w:tcPr>
          <w:p w14:paraId="60A923AB"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b/>
                <w:lang w:val="en-GB"/>
              </w:rPr>
              <w:t>Monoclonal light and heavy chain deposition disease</w:t>
            </w:r>
            <w:r w:rsidRPr="004E4357">
              <w:rPr>
                <w:lang w:val="en-GB"/>
              </w:rPr>
              <w:t xml:space="preserve"> (LCDD/HCDD): </w:t>
            </w:r>
          </w:p>
        </w:tc>
      </w:tr>
      <w:tr w:rsidR="004E4357" w:rsidRPr="004129D5" w14:paraId="789FFE7C" w14:textId="77777777" w:rsidTr="006E69F4">
        <w:tc>
          <w:tcPr>
            <w:tcW w:w="2925" w:type="dxa"/>
            <w:shd w:val="clear" w:color="auto" w:fill="auto"/>
            <w:tcMar>
              <w:top w:w="100" w:type="dxa"/>
              <w:left w:w="100" w:type="dxa"/>
              <w:bottom w:w="100" w:type="dxa"/>
              <w:right w:w="100" w:type="dxa"/>
            </w:tcMar>
          </w:tcPr>
          <w:p w14:paraId="11997E74"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Precedes the MM diagnosis</w:t>
            </w:r>
          </w:p>
          <w:p w14:paraId="4894D878" w14:textId="77777777" w:rsidR="004E4357" w:rsidRPr="004E4357" w:rsidRDefault="004E4357" w:rsidP="006E69F4">
            <w:pPr>
              <w:widowControl w:val="0"/>
              <w:pBdr>
                <w:top w:val="nil"/>
                <w:left w:val="nil"/>
                <w:bottom w:val="nil"/>
                <w:right w:val="nil"/>
                <w:between w:val="nil"/>
              </w:pBdr>
              <w:spacing w:line="240" w:lineRule="auto"/>
              <w:rPr>
                <w:lang w:val="en-GB"/>
              </w:rPr>
            </w:pPr>
          </w:p>
          <w:p w14:paraId="11415381" w14:textId="77777777" w:rsidR="004E4357" w:rsidRPr="004E4357" w:rsidRDefault="004E4357" w:rsidP="006E69F4">
            <w:pPr>
              <w:widowControl w:val="0"/>
              <w:pBdr>
                <w:top w:val="nil"/>
                <w:left w:val="nil"/>
                <w:bottom w:val="nil"/>
                <w:right w:val="nil"/>
                <w:between w:val="nil"/>
              </w:pBdr>
              <w:spacing w:line="240" w:lineRule="auto"/>
              <w:rPr>
                <w:lang w:val="en-GB"/>
              </w:rPr>
            </w:pPr>
          </w:p>
          <w:p w14:paraId="122D4286" w14:textId="77777777" w:rsidR="004E4357" w:rsidRPr="004E4357" w:rsidRDefault="004E4357" w:rsidP="006E69F4">
            <w:pPr>
              <w:widowControl w:val="0"/>
              <w:pBdr>
                <w:top w:val="nil"/>
                <w:left w:val="nil"/>
                <w:bottom w:val="nil"/>
                <w:right w:val="nil"/>
                <w:between w:val="nil"/>
              </w:pBdr>
              <w:spacing w:line="240" w:lineRule="auto"/>
              <w:rPr>
                <w:lang w:val="en-GB"/>
              </w:rPr>
            </w:pPr>
          </w:p>
          <w:p w14:paraId="6D5DCD2B"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Simultaneous to the MM diagnosis</w:t>
            </w:r>
          </w:p>
        </w:tc>
        <w:tc>
          <w:tcPr>
            <w:tcW w:w="6075" w:type="dxa"/>
            <w:shd w:val="clear" w:color="auto" w:fill="auto"/>
            <w:tcMar>
              <w:top w:w="100" w:type="dxa"/>
              <w:left w:w="100" w:type="dxa"/>
              <w:bottom w:w="100" w:type="dxa"/>
              <w:right w:w="100" w:type="dxa"/>
            </w:tcMar>
          </w:tcPr>
          <w:p w14:paraId="4294D731"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 xml:space="preserve">LCDD/HCDD is considered as a diagnosis on its own. However, if it is not considered to be indication for transplant, it does not need to be registered. </w:t>
            </w:r>
          </w:p>
          <w:p w14:paraId="63105448" w14:textId="77777777" w:rsidR="004E4357" w:rsidRPr="004E4357" w:rsidRDefault="004E4357" w:rsidP="006E69F4">
            <w:pPr>
              <w:widowControl w:val="0"/>
              <w:pBdr>
                <w:top w:val="nil"/>
                <w:left w:val="nil"/>
                <w:bottom w:val="nil"/>
                <w:right w:val="nil"/>
                <w:between w:val="nil"/>
              </w:pBdr>
              <w:spacing w:line="240" w:lineRule="auto"/>
              <w:rPr>
                <w:lang w:val="en-GB"/>
              </w:rPr>
            </w:pPr>
          </w:p>
          <w:p w14:paraId="047E3410"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If LCDD/HCDD is considered to also be indication for transplant, then both diagnoses should be registered as main.</w:t>
            </w:r>
          </w:p>
        </w:tc>
      </w:tr>
      <w:tr w:rsidR="004E4357" w:rsidRPr="004129D5" w14:paraId="1FF7C109" w14:textId="77777777" w:rsidTr="006E69F4">
        <w:tc>
          <w:tcPr>
            <w:tcW w:w="2925" w:type="dxa"/>
            <w:shd w:val="clear" w:color="auto" w:fill="auto"/>
            <w:tcMar>
              <w:top w:w="100" w:type="dxa"/>
              <w:left w:w="100" w:type="dxa"/>
              <w:bottom w:w="100" w:type="dxa"/>
              <w:right w:w="100" w:type="dxa"/>
            </w:tcMar>
          </w:tcPr>
          <w:p w14:paraId="2CF2CF7D" w14:textId="77777777" w:rsidR="004E4357" w:rsidRDefault="004E4357" w:rsidP="006E69F4">
            <w:pPr>
              <w:widowControl w:val="0"/>
              <w:pBdr>
                <w:top w:val="nil"/>
                <w:left w:val="nil"/>
                <w:bottom w:val="nil"/>
                <w:right w:val="nil"/>
                <w:between w:val="nil"/>
              </w:pBdr>
              <w:spacing w:line="240" w:lineRule="auto"/>
            </w:pPr>
            <w:r>
              <w:t xml:space="preserve">After </w:t>
            </w:r>
            <w:proofErr w:type="spellStart"/>
            <w:r>
              <w:t>transplant</w:t>
            </w:r>
            <w:proofErr w:type="spellEnd"/>
            <w:r>
              <w:t xml:space="preserve"> </w:t>
            </w:r>
            <w:proofErr w:type="spellStart"/>
            <w:r>
              <w:t>for</w:t>
            </w:r>
            <w:proofErr w:type="spellEnd"/>
            <w:r>
              <w:t xml:space="preserve"> MM </w:t>
            </w:r>
          </w:p>
        </w:tc>
        <w:tc>
          <w:tcPr>
            <w:tcW w:w="6075" w:type="dxa"/>
            <w:shd w:val="clear" w:color="auto" w:fill="auto"/>
            <w:tcMar>
              <w:top w:w="100" w:type="dxa"/>
              <w:left w:w="100" w:type="dxa"/>
              <w:bottom w:w="100" w:type="dxa"/>
              <w:right w:w="100" w:type="dxa"/>
            </w:tcMar>
          </w:tcPr>
          <w:p w14:paraId="7A0EAC5F"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LCDD/HCDD, to be registered as secondary malignancy</w:t>
            </w:r>
          </w:p>
        </w:tc>
      </w:tr>
      <w:tr w:rsidR="004E4357" w14:paraId="06CA592B" w14:textId="77777777" w:rsidTr="006E69F4">
        <w:trPr>
          <w:trHeight w:val="420"/>
        </w:trPr>
        <w:tc>
          <w:tcPr>
            <w:tcW w:w="9000" w:type="dxa"/>
            <w:gridSpan w:val="2"/>
            <w:shd w:val="clear" w:color="auto" w:fill="auto"/>
            <w:tcMar>
              <w:top w:w="100" w:type="dxa"/>
              <w:left w:w="100" w:type="dxa"/>
              <w:bottom w:w="100" w:type="dxa"/>
              <w:right w:w="100" w:type="dxa"/>
            </w:tcMar>
          </w:tcPr>
          <w:p w14:paraId="7EB527F2" w14:textId="77777777" w:rsidR="004E4357" w:rsidRDefault="004E4357" w:rsidP="006E69F4">
            <w:pPr>
              <w:widowControl w:val="0"/>
              <w:pBdr>
                <w:top w:val="nil"/>
                <w:left w:val="nil"/>
                <w:bottom w:val="nil"/>
                <w:right w:val="nil"/>
                <w:between w:val="nil"/>
              </w:pBdr>
              <w:spacing w:line="240" w:lineRule="auto"/>
            </w:pPr>
            <w:proofErr w:type="spellStart"/>
            <w:r>
              <w:rPr>
                <w:b/>
              </w:rPr>
              <w:lastRenderedPageBreak/>
              <w:t>Amyloidosis</w:t>
            </w:r>
            <w:proofErr w:type="spellEnd"/>
            <w:r>
              <w:t>:</w:t>
            </w:r>
          </w:p>
        </w:tc>
      </w:tr>
      <w:tr w:rsidR="004E4357" w:rsidRPr="004129D5" w14:paraId="32DFDF8F" w14:textId="77777777" w:rsidTr="006E69F4">
        <w:tc>
          <w:tcPr>
            <w:tcW w:w="2925" w:type="dxa"/>
            <w:shd w:val="clear" w:color="auto" w:fill="auto"/>
            <w:tcMar>
              <w:top w:w="100" w:type="dxa"/>
              <w:left w:w="100" w:type="dxa"/>
              <w:bottom w:w="100" w:type="dxa"/>
              <w:right w:w="100" w:type="dxa"/>
            </w:tcMar>
          </w:tcPr>
          <w:p w14:paraId="1BCB699D"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Precedes the MM diagnosis Simultaneous to the MM diagnosis</w:t>
            </w:r>
          </w:p>
        </w:tc>
        <w:tc>
          <w:tcPr>
            <w:tcW w:w="6075" w:type="dxa"/>
            <w:shd w:val="clear" w:color="auto" w:fill="auto"/>
            <w:tcMar>
              <w:top w:w="100" w:type="dxa"/>
              <w:left w:w="100" w:type="dxa"/>
              <w:bottom w:w="100" w:type="dxa"/>
              <w:right w:w="100" w:type="dxa"/>
            </w:tcMar>
          </w:tcPr>
          <w:p w14:paraId="659F7F34"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 xml:space="preserve">If the patient has both diagnoses, then the indication for transplant is Myeloma. </w:t>
            </w:r>
          </w:p>
        </w:tc>
      </w:tr>
      <w:tr w:rsidR="004E4357" w:rsidRPr="004129D5" w14:paraId="2482DABC" w14:textId="77777777" w:rsidTr="006E69F4">
        <w:tc>
          <w:tcPr>
            <w:tcW w:w="2925" w:type="dxa"/>
            <w:shd w:val="clear" w:color="auto" w:fill="auto"/>
            <w:tcMar>
              <w:top w:w="100" w:type="dxa"/>
              <w:left w:w="100" w:type="dxa"/>
              <w:bottom w:w="100" w:type="dxa"/>
              <w:right w:w="100" w:type="dxa"/>
            </w:tcMar>
          </w:tcPr>
          <w:p w14:paraId="5190397B" w14:textId="77777777" w:rsidR="004E4357" w:rsidRDefault="004E4357" w:rsidP="006E69F4">
            <w:pPr>
              <w:widowControl w:val="0"/>
              <w:pBdr>
                <w:top w:val="nil"/>
                <w:left w:val="nil"/>
                <w:bottom w:val="nil"/>
                <w:right w:val="nil"/>
                <w:between w:val="nil"/>
              </w:pBdr>
              <w:spacing w:line="240" w:lineRule="auto"/>
            </w:pPr>
            <w:r>
              <w:t xml:space="preserve">After </w:t>
            </w:r>
            <w:proofErr w:type="spellStart"/>
            <w:r>
              <w:t>transplant</w:t>
            </w:r>
            <w:proofErr w:type="spellEnd"/>
            <w:r>
              <w:t xml:space="preserve"> </w:t>
            </w:r>
            <w:proofErr w:type="spellStart"/>
            <w:r>
              <w:t>for</w:t>
            </w:r>
            <w:proofErr w:type="spellEnd"/>
            <w:r>
              <w:t xml:space="preserve"> MM </w:t>
            </w:r>
          </w:p>
        </w:tc>
        <w:tc>
          <w:tcPr>
            <w:tcW w:w="6075" w:type="dxa"/>
            <w:shd w:val="clear" w:color="auto" w:fill="auto"/>
            <w:tcMar>
              <w:top w:w="100" w:type="dxa"/>
              <w:left w:w="100" w:type="dxa"/>
              <w:bottom w:w="100" w:type="dxa"/>
              <w:right w:w="100" w:type="dxa"/>
            </w:tcMar>
          </w:tcPr>
          <w:p w14:paraId="24F9F6EE" w14:textId="77777777" w:rsidR="004E4357" w:rsidRPr="004E4357" w:rsidRDefault="004E4357" w:rsidP="006E69F4">
            <w:pPr>
              <w:widowControl w:val="0"/>
              <w:pBdr>
                <w:top w:val="nil"/>
                <w:left w:val="nil"/>
                <w:bottom w:val="nil"/>
                <w:right w:val="nil"/>
                <w:between w:val="nil"/>
              </w:pBdr>
              <w:spacing w:line="240" w:lineRule="auto"/>
              <w:rPr>
                <w:lang w:val="en-GB"/>
              </w:rPr>
            </w:pPr>
            <w:r w:rsidRPr="004E4357">
              <w:rPr>
                <w:lang w:val="en-GB"/>
              </w:rPr>
              <w:t>Amyloidosis to be registered as a secondary diagnosis</w:t>
            </w:r>
          </w:p>
        </w:tc>
      </w:tr>
    </w:tbl>
    <w:p w14:paraId="713B21B2" w14:textId="77777777" w:rsidR="004E4357" w:rsidRPr="004E4357" w:rsidRDefault="004E4357" w:rsidP="004E4357">
      <w:pPr>
        <w:rPr>
          <w:lang w:val="en-GB"/>
        </w:rPr>
      </w:pPr>
    </w:p>
    <w:p w14:paraId="3045574B" w14:textId="57307B89" w:rsidR="00F62B94" w:rsidRPr="004E4357" w:rsidRDefault="004E4357" w:rsidP="004E4357">
      <w:pPr>
        <w:pStyle w:val="Ttulo2"/>
        <w:rPr>
          <w:lang w:val="en-GB"/>
        </w:rPr>
      </w:pPr>
      <w:bookmarkStart w:id="11" w:name="_Toc135410253"/>
      <w:r w:rsidRPr="004E4357">
        <w:rPr>
          <w:lang w:val="en-GB"/>
        </w:rPr>
        <w:t>3. Staging at diagnosis</w:t>
      </w:r>
      <w:r>
        <w:rPr>
          <w:lang w:val="en-GB"/>
        </w:rPr>
        <w:t xml:space="preserve"> </w:t>
      </w:r>
      <w:r w:rsidRPr="004E4357">
        <w:rPr>
          <w:lang w:val="en-GB"/>
        </w:rPr>
        <w:t>(report for Multiple myeloma only)</w:t>
      </w:r>
      <w:bookmarkEnd w:id="11"/>
      <w:r>
        <w:rPr>
          <w:lang w:val="en-GB"/>
        </w:rPr>
        <w:t xml:space="preserve"> </w:t>
      </w:r>
    </w:p>
    <w:p w14:paraId="2BF6530D" w14:textId="190096AE" w:rsidR="00D711C9" w:rsidRDefault="004E4357" w:rsidP="00F62B94">
      <w:pPr>
        <w:rPr>
          <w:lang w:val="en-GB"/>
        </w:rPr>
      </w:pPr>
      <w:r w:rsidRPr="004E4357">
        <w:rPr>
          <w:lang w:val="en-GB"/>
        </w:rPr>
        <w:t xml:space="preserve">Indicate ISS stage </w:t>
      </w:r>
      <w:r w:rsidRPr="004E4357">
        <w:rPr>
          <w:u w:val="single"/>
          <w:lang w:val="en-GB"/>
        </w:rPr>
        <w:t>and</w:t>
      </w:r>
      <w:r w:rsidRPr="004E4357">
        <w:rPr>
          <w:lang w:val="en-GB"/>
        </w:rPr>
        <w:t xml:space="preserve"> Revised ISS (R-ISS) stage according to the parameters listed in tables # and #. Staging is the clinical classification of the extent of disease at diagnosis</w:t>
      </w:r>
      <w:r w:rsidR="00F62B94" w:rsidRPr="00F62B94">
        <w:rPr>
          <w:lang w:val="en-GB"/>
        </w:rPr>
        <w:t>.</w:t>
      </w: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6705"/>
      </w:tblGrid>
      <w:tr w:rsidR="004E4357" w14:paraId="46ABBB3B" w14:textId="77777777" w:rsidTr="006E69F4">
        <w:trPr>
          <w:trHeight w:val="420"/>
        </w:trPr>
        <w:tc>
          <w:tcPr>
            <w:tcW w:w="8070" w:type="dxa"/>
            <w:gridSpan w:val="2"/>
            <w:shd w:val="clear" w:color="auto" w:fill="auto"/>
            <w:tcMar>
              <w:top w:w="100" w:type="dxa"/>
              <w:left w:w="100" w:type="dxa"/>
              <w:bottom w:w="100" w:type="dxa"/>
              <w:right w:w="100" w:type="dxa"/>
            </w:tcMar>
          </w:tcPr>
          <w:p w14:paraId="20E685E7" w14:textId="77777777" w:rsidR="004E4357" w:rsidRDefault="004E4357" w:rsidP="006E69F4">
            <w:pPr>
              <w:widowControl w:val="0"/>
              <w:spacing w:line="240" w:lineRule="auto"/>
              <w:rPr>
                <w:b/>
              </w:rPr>
            </w:pPr>
            <w:r>
              <w:rPr>
                <w:b/>
              </w:rPr>
              <w:t xml:space="preserve">ISS </w:t>
            </w:r>
            <w:proofErr w:type="spellStart"/>
            <w:r>
              <w:rPr>
                <w:b/>
              </w:rPr>
              <w:t>definitions</w:t>
            </w:r>
            <w:proofErr w:type="spellEnd"/>
          </w:p>
        </w:tc>
      </w:tr>
      <w:tr w:rsidR="004E4357" w14:paraId="68F5BADA" w14:textId="77777777" w:rsidTr="006E69F4">
        <w:tc>
          <w:tcPr>
            <w:tcW w:w="1365" w:type="dxa"/>
            <w:shd w:val="clear" w:color="auto" w:fill="auto"/>
            <w:tcMar>
              <w:top w:w="100" w:type="dxa"/>
              <w:left w:w="100" w:type="dxa"/>
              <w:bottom w:w="100" w:type="dxa"/>
              <w:right w:w="100" w:type="dxa"/>
            </w:tcMar>
          </w:tcPr>
          <w:p w14:paraId="453AB37E" w14:textId="77777777" w:rsidR="004E4357" w:rsidRDefault="004E4357" w:rsidP="006E69F4">
            <w:pPr>
              <w:widowControl w:val="0"/>
              <w:spacing w:line="240" w:lineRule="auto"/>
              <w:rPr>
                <w:b/>
              </w:rPr>
            </w:pPr>
            <w:proofErr w:type="spellStart"/>
            <w:r>
              <w:rPr>
                <w:b/>
              </w:rPr>
              <w:t>Stage</w:t>
            </w:r>
            <w:proofErr w:type="spellEnd"/>
          </w:p>
        </w:tc>
        <w:tc>
          <w:tcPr>
            <w:tcW w:w="6705" w:type="dxa"/>
            <w:shd w:val="clear" w:color="auto" w:fill="auto"/>
            <w:tcMar>
              <w:top w:w="100" w:type="dxa"/>
              <w:left w:w="100" w:type="dxa"/>
              <w:bottom w:w="100" w:type="dxa"/>
              <w:right w:w="100" w:type="dxa"/>
            </w:tcMar>
          </w:tcPr>
          <w:p w14:paraId="7804BDE4" w14:textId="77777777" w:rsidR="004E4357" w:rsidRDefault="004E4357" w:rsidP="006E69F4">
            <w:pPr>
              <w:widowControl w:val="0"/>
              <w:spacing w:line="240" w:lineRule="auto"/>
              <w:rPr>
                <w:b/>
              </w:rPr>
            </w:pPr>
            <w:proofErr w:type="spellStart"/>
            <w:r>
              <w:rPr>
                <w:b/>
              </w:rPr>
              <w:t>Definition</w:t>
            </w:r>
            <w:proofErr w:type="spellEnd"/>
          </w:p>
        </w:tc>
      </w:tr>
      <w:tr w:rsidR="004E4357" w:rsidRPr="004129D5" w14:paraId="2D55C585" w14:textId="77777777" w:rsidTr="006E69F4">
        <w:tc>
          <w:tcPr>
            <w:tcW w:w="1365" w:type="dxa"/>
            <w:shd w:val="clear" w:color="auto" w:fill="auto"/>
            <w:tcMar>
              <w:top w:w="100" w:type="dxa"/>
              <w:left w:w="100" w:type="dxa"/>
              <w:bottom w:w="100" w:type="dxa"/>
              <w:right w:w="100" w:type="dxa"/>
            </w:tcMar>
          </w:tcPr>
          <w:p w14:paraId="360E341C" w14:textId="77777777" w:rsidR="004E4357" w:rsidRDefault="004E4357" w:rsidP="006E69F4">
            <w:pPr>
              <w:widowControl w:val="0"/>
              <w:spacing w:line="240" w:lineRule="auto"/>
            </w:pPr>
            <w:r>
              <w:t>I</w:t>
            </w:r>
          </w:p>
        </w:tc>
        <w:tc>
          <w:tcPr>
            <w:tcW w:w="6705" w:type="dxa"/>
            <w:shd w:val="clear" w:color="auto" w:fill="auto"/>
            <w:tcMar>
              <w:top w:w="100" w:type="dxa"/>
              <w:left w:w="100" w:type="dxa"/>
              <w:bottom w:w="100" w:type="dxa"/>
              <w:right w:w="100" w:type="dxa"/>
            </w:tcMar>
          </w:tcPr>
          <w:p w14:paraId="59F1D3C3" w14:textId="77777777" w:rsidR="004E4357" w:rsidRPr="004E4357" w:rsidRDefault="004E4357" w:rsidP="006E69F4">
            <w:pPr>
              <w:widowControl w:val="0"/>
              <w:spacing w:line="240" w:lineRule="auto"/>
              <w:rPr>
                <w:lang w:val="en-GB"/>
              </w:rPr>
            </w:pPr>
            <w:r w:rsidRPr="004E4357">
              <w:rPr>
                <w:lang w:val="en-GB"/>
              </w:rPr>
              <w:t>B2-</w:t>
            </w:r>
            <w:r>
              <w:t>μ</w:t>
            </w:r>
            <w:r w:rsidRPr="004E4357">
              <w:rPr>
                <w:lang w:val="en-GB"/>
              </w:rPr>
              <w:t>glob (mg</w:t>
            </w:r>
            <w:proofErr w:type="gramStart"/>
            <w:r w:rsidRPr="004E4357">
              <w:rPr>
                <w:lang w:val="en-GB"/>
              </w:rPr>
              <w:t>/:L</w:t>
            </w:r>
            <w:proofErr w:type="gramEnd"/>
            <w:r w:rsidRPr="004E4357">
              <w:rPr>
                <w:lang w:val="en-GB"/>
              </w:rPr>
              <w:t>) &lt;3.5 and albumin (g/L) &gt;35</w:t>
            </w:r>
          </w:p>
        </w:tc>
      </w:tr>
      <w:tr w:rsidR="004E4357" w:rsidRPr="004129D5" w14:paraId="150AD40F" w14:textId="77777777" w:rsidTr="006E69F4">
        <w:tc>
          <w:tcPr>
            <w:tcW w:w="1365" w:type="dxa"/>
            <w:shd w:val="clear" w:color="auto" w:fill="auto"/>
            <w:tcMar>
              <w:top w:w="100" w:type="dxa"/>
              <w:left w:w="100" w:type="dxa"/>
              <w:bottom w:w="100" w:type="dxa"/>
              <w:right w:w="100" w:type="dxa"/>
            </w:tcMar>
          </w:tcPr>
          <w:p w14:paraId="4E874573" w14:textId="77777777" w:rsidR="004E4357" w:rsidRDefault="004E4357" w:rsidP="006E69F4">
            <w:pPr>
              <w:widowControl w:val="0"/>
              <w:spacing w:line="240" w:lineRule="auto"/>
            </w:pPr>
            <w:r>
              <w:t>II</w:t>
            </w:r>
          </w:p>
        </w:tc>
        <w:tc>
          <w:tcPr>
            <w:tcW w:w="6705" w:type="dxa"/>
            <w:shd w:val="clear" w:color="auto" w:fill="auto"/>
            <w:tcMar>
              <w:top w:w="100" w:type="dxa"/>
              <w:left w:w="100" w:type="dxa"/>
              <w:bottom w:w="100" w:type="dxa"/>
              <w:right w:w="100" w:type="dxa"/>
            </w:tcMar>
          </w:tcPr>
          <w:p w14:paraId="36802737" w14:textId="77777777" w:rsidR="004E4357" w:rsidRPr="004E4357" w:rsidRDefault="004E4357" w:rsidP="006E69F4">
            <w:pPr>
              <w:widowControl w:val="0"/>
              <w:spacing w:line="240" w:lineRule="auto"/>
              <w:rPr>
                <w:lang w:val="en-GB"/>
              </w:rPr>
            </w:pPr>
            <w:r w:rsidRPr="004E4357">
              <w:rPr>
                <w:lang w:val="en-GB"/>
              </w:rPr>
              <w:t>B2-</w:t>
            </w:r>
            <w:r>
              <w:t>μ</w:t>
            </w:r>
            <w:r w:rsidRPr="004E4357">
              <w:rPr>
                <w:lang w:val="en-GB"/>
              </w:rPr>
              <w:t>glob (mg</w:t>
            </w:r>
            <w:proofErr w:type="gramStart"/>
            <w:r w:rsidRPr="004E4357">
              <w:rPr>
                <w:lang w:val="en-GB"/>
              </w:rPr>
              <w:t>/:L</w:t>
            </w:r>
            <w:proofErr w:type="gramEnd"/>
            <w:r w:rsidRPr="004E4357">
              <w:rPr>
                <w:lang w:val="en-GB"/>
              </w:rPr>
              <w:t xml:space="preserve">) &lt;3.5 and albumin (g/L) &lt;35 </w:t>
            </w:r>
          </w:p>
          <w:p w14:paraId="6D6D4C09" w14:textId="77777777" w:rsidR="004E4357" w:rsidRPr="004E4357" w:rsidRDefault="004E4357" w:rsidP="006E69F4">
            <w:pPr>
              <w:widowControl w:val="0"/>
              <w:spacing w:line="240" w:lineRule="auto"/>
              <w:rPr>
                <w:lang w:val="en-GB"/>
              </w:rPr>
            </w:pPr>
            <w:r w:rsidRPr="004E4357">
              <w:rPr>
                <w:b/>
                <w:lang w:val="en-GB"/>
              </w:rPr>
              <w:t xml:space="preserve">or </w:t>
            </w:r>
            <w:r w:rsidRPr="004E4357">
              <w:rPr>
                <w:rFonts w:ascii="Arial Unicode MS" w:eastAsia="Arial Unicode MS" w:hAnsi="Arial Unicode MS" w:cs="Arial Unicode MS"/>
                <w:lang w:val="en-GB"/>
              </w:rPr>
              <w:t>B2-</w:t>
            </w:r>
            <w:r>
              <w:rPr>
                <w:rFonts w:ascii="Arial Unicode MS" w:eastAsia="Arial Unicode MS" w:hAnsi="Arial Unicode MS" w:cs="Arial Unicode MS"/>
              </w:rPr>
              <w:t>μ</w:t>
            </w:r>
            <w:r w:rsidRPr="004E4357">
              <w:rPr>
                <w:rFonts w:ascii="Arial Unicode MS" w:eastAsia="Arial Unicode MS" w:hAnsi="Arial Unicode MS" w:cs="Arial Unicode MS"/>
                <w:lang w:val="en-GB"/>
              </w:rPr>
              <w:t>glob (mg</w:t>
            </w:r>
            <w:proofErr w:type="gramStart"/>
            <w:r w:rsidRPr="004E4357">
              <w:rPr>
                <w:rFonts w:ascii="Arial Unicode MS" w:eastAsia="Arial Unicode MS" w:hAnsi="Arial Unicode MS" w:cs="Arial Unicode MS"/>
                <w:lang w:val="en-GB"/>
              </w:rPr>
              <w:t>/:L</w:t>
            </w:r>
            <w:proofErr w:type="gramEnd"/>
            <w:r w:rsidRPr="004E4357">
              <w:rPr>
                <w:rFonts w:ascii="Arial Unicode MS" w:eastAsia="Arial Unicode MS" w:hAnsi="Arial Unicode MS" w:cs="Arial Unicode MS"/>
                <w:lang w:val="en-GB"/>
              </w:rPr>
              <w:t xml:space="preserve">) 3.5 ≤ 5.5 </w:t>
            </w:r>
          </w:p>
        </w:tc>
      </w:tr>
      <w:tr w:rsidR="004E4357" w14:paraId="7D383E6B" w14:textId="77777777" w:rsidTr="006E69F4">
        <w:tc>
          <w:tcPr>
            <w:tcW w:w="1365" w:type="dxa"/>
            <w:shd w:val="clear" w:color="auto" w:fill="auto"/>
            <w:tcMar>
              <w:top w:w="100" w:type="dxa"/>
              <w:left w:w="100" w:type="dxa"/>
              <w:bottom w:w="100" w:type="dxa"/>
              <w:right w:w="100" w:type="dxa"/>
            </w:tcMar>
          </w:tcPr>
          <w:p w14:paraId="5B75EE62" w14:textId="77777777" w:rsidR="004E4357" w:rsidRDefault="004E4357" w:rsidP="006E69F4">
            <w:pPr>
              <w:widowControl w:val="0"/>
              <w:spacing w:line="240" w:lineRule="auto"/>
            </w:pPr>
            <w:r>
              <w:t>III</w:t>
            </w:r>
          </w:p>
        </w:tc>
        <w:tc>
          <w:tcPr>
            <w:tcW w:w="6705" w:type="dxa"/>
            <w:shd w:val="clear" w:color="auto" w:fill="auto"/>
            <w:tcMar>
              <w:top w:w="100" w:type="dxa"/>
              <w:left w:w="100" w:type="dxa"/>
              <w:bottom w:w="100" w:type="dxa"/>
              <w:right w:w="100" w:type="dxa"/>
            </w:tcMar>
          </w:tcPr>
          <w:p w14:paraId="56470283" w14:textId="77777777" w:rsidR="004E4357" w:rsidRDefault="004E4357" w:rsidP="006E69F4">
            <w:pPr>
              <w:widowControl w:val="0"/>
              <w:spacing w:line="240" w:lineRule="auto"/>
            </w:pPr>
            <w:r>
              <w:t>B2-μglob (mg</w:t>
            </w:r>
            <w:proofErr w:type="gramStart"/>
            <w:r>
              <w:t>/:L</w:t>
            </w:r>
            <w:proofErr w:type="gramEnd"/>
            <w:r>
              <w:t>) &gt;5.5</w:t>
            </w:r>
          </w:p>
        </w:tc>
      </w:tr>
      <w:tr w:rsidR="004E4357" w:rsidRPr="004129D5" w14:paraId="6F798EE5" w14:textId="77777777" w:rsidTr="006E69F4">
        <w:tc>
          <w:tcPr>
            <w:tcW w:w="1365" w:type="dxa"/>
            <w:shd w:val="clear" w:color="auto" w:fill="auto"/>
            <w:tcMar>
              <w:top w:w="100" w:type="dxa"/>
              <w:left w:w="100" w:type="dxa"/>
              <w:bottom w:w="100" w:type="dxa"/>
              <w:right w:w="100" w:type="dxa"/>
            </w:tcMar>
          </w:tcPr>
          <w:p w14:paraId="71BF7F1C" w14:textId="77777777" w:rsidR="004E4357" w:rsidRDefault="004E4357" w:rsidP="006E69F4">
            <w:pPr>
              <w:widowControl w:val="0"/>
              <w:spacing w:line="240" w:lineRule="auto"/>
            </w:pPr>
            <w:proofErr w:type="spellStart"/>
            <w:r>
              <w:t>Unknown</w:t>
            </w:r>
            <w:proofErr w:type="spellEnd"/>
          </w:p>
        </w:tc>
        <w:tc>
          <w:tcPr>
            <w:tcW w:w="6705" w:type="dxa"/>
            <w:shd w:val="clear" w:color="auto" w:fill="auto"/>
            <w:tcMar>
              <w:top w:w="100" w:type="dxa"/>
              <w:left w:w="100" w:type="dxa"/>
              <w:bottom w:w="100" w:type="dxa"/>
              <w:right w:w="100" w:type="dxa"/>
            </w:tcMar>
          </w:tcPr>
          <w:p w14:paraId="5A7C5945" w14:textId="77777777" w:rsidR="004E4357" w:rsidRPr="004E4357" w:rsidRDefault="004E4357" w:rsidP="006E69F4">
            <w:pPr>
              <w:widowControl w:val="0"/>
              <w:spacing w:line="240" w:lineRule="auto"/>
              <w:rPr>
                <w:lang w:val="en-GB"/>
              </w:rPr>
            </w:pPr>
            <w:r w:rsidRPr="004E4357">
              <w:rPr>
                <w:lang w:val="en-GB"/>
              </w:rPr>
              <w:t>The ISS stage is not known.</w:t>
            </w:r>
          </w:p>
        </w:tc>
      </w:tr>
    </w:tbl>
    <w:p w14:paraId="263EFF81" w14:textId="59DCCE2E" w:rsidR="004129D5" w:rsidRPr="004129D5" w:rsidRDefault="004E4357" w:rsidP="00F62B94">
      <w:pPr>
        <w:rPr>
          <w:i/>
        </w:rPr>
      </w:pPr>
      <w:r>
        <w:rPr>
          <w:i/>
        </w:rPr>
        <w:t xml:space="preserve">Table # </w:t>
      </w:r>
      <w:proofErr w:type="spellStart"/>
      <w:r>
        <w:rPr>
          <w:i/>
        </w:rPr>
        <w:t>definitions</w:t>
      </w:r>
      <w:proofErr w:type="spellEnd"/>
      <w:r>
        <w:rPr>
          <w:i/>
        </w:rPr>
        <w:t xml:space="preserve"> </w:t>
      </w:r>
      <w:proofErr w:type="spellStart"/>
      <w:r>
        <w:rPr>
          <w:i/>
        </w:rPr>
        <w:t>of</w:t>
      </w:r>
      <w:proofErr w:type="spellEnd"/>
      <w:r>
        <w:rPr>
          <w:i/>
        </w:rPr>
        <w:t xml:space="preserve"> ISS </w:t>
      </w:r>
      <w:proofErr w:type="spellStart"/>
      <w:r>
        <w:rPr>
          <w:i/>
        </w:rPr>
        <w:t>stages</w:t>
      </w:r>
      <w:proofErr w:type="spellEnd"/>
    </w:p>
    <w:p w14:paraId="2445BFB9" w14:textId="77777777" w:rsidR="004E4357" w:rsidRDefault="004E4357" w:rsidP="00F62B94">
      <w:pPr>
        <w:rPr>
          <w:lang w:val="en-GB"/>
        </w:rPr>
      </w:pP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6705"/>
      </w:tblGrid>
      <w:tr w:rsidR="004E4357" w14:paraId="74A765A2" w14:textId="77777777" w:rsidTr="006E69F4">
        <w:trPr>
          <w:trHeight w:val="420"/>
        </w:trPr>
        <w:tc>
          <w:tcPr>
            <w:tcW w:w="8070" w:type="dxa"/>
            <w:gridSpan w:val="2"/>
            <w:shd w:val="clear" w:color="auto" w:fill="auto"/>
            <w:tcMar>
              <w:top w:w="100" w:type="dxa"/>
              <w:left w:w="100" w:type="dxa"/>
              <w:bottom w:w="100" w:type="dxa"/>
              <w:right w:w="100" w:type="dxa"/>
            </w:tcMar>
          </w:tcPr>
          <w:p w14:paraId="4CE47D4A" w14:textId="77777777" w:rsidR="004E4357" w:rsidRDefault="004E4357" w:rsidP="006E69F4">
            <w:pPr>
              <w:widowControl w:val="0"/>
              <w:spacing w:line="240" w:lineRule="auto"/>
              <w:rPr>
                <w:b/>
              </w:rPr>
            </w:pPr>
            <w:proofErr w:type="spellStart"/>
            <w:r>
              <w:rPr>
                <w:b/>
              </w:rPr>
              <w:t>Revised</w:t>
            </w:r>
            <w:proofErr w:type="spellEnd"/>
            <w:r>
              <w:rPr>
                <w:b/>
              </w:rPr>
              <w:t xml:space="preserve"> ISS </w:t>
            </w:r>
            <w:proofErr w:type="spellStart"/>
            <w:r>
              <w:rPr>
                <w:b/>
              </w:rPr>
              <w:t>definitions</w:t>
            </w:r>
            <w:proofErr w:type="spellEnd"/>
          </w:p>
        </w:tc>
      </w:tr>
      <w:tr w:rsidR="004E4357" w14:paraId="076E3454" w14:textId="77777777" w:rsidTr="006E69F4">
        <w:tc>
          <w:tcPr>
            <w:tcW w:w="1365" w:type="dxa"/>
            <w:shd w:val="clear" w:color="auto" w:fill="auto"/>
            <w:tcMar>
              <w:top w:w="100" w:type="dxa"/>
              <w:left w:w="100" w:type="dxa"/>
              <w:bottom w:w="100" w:type="dxa"/>
              <w:right w:w="100" w:type="dxa"/>
            </w:tcMar>
          </w:tcPr>
          <w:p w14:paraId="54F2EB51" w14:textId="77777777" w:rsidR="004E4357" w:rsidRDefault="004E4357" w:rsidP="006E69F4">
            <w:pPr>
              <w:widowControl w:val="0"/>
              <w:spacing w:line="240" w:lineRule="auto"/>
              <w:rPr>
                <w:b/>
              </w:rPr>
            </w:pPr>
            <w:proofErr w:type="spellStart"/>
            <w:r>
              <w:rPr>
                <w:b/>
              </w:rPr>
              <w:t>Stage</w:t>
            </w:r>
            <w:proofErr w:type="spellEnd"/>
          </w:p>
        </w:tc>
        <w:tc>
          <w:tcPr>
            <w:tcW w:w="6705" w:type="dxa"/>
            <w:shd w:val="clear" w:color="auto" w:fill="auto"/>
            <w:tcMar>
              <w:top w:w="100" w:type="dxa"/>
              <w:left w:w="100" w:type="dxa"/>
              <w:bottom w:w="100" w:type="dxa"/>
              <w:right w:w="100" w:type="dxa"/>
            </w:tcMar>
          </w:tcPr>
          <w:p w14:paraId="063A58D2" w14:textId="77777777" w:rsidR="004E4357" w:rsidRDefault="004E4357" w:rsidP="006E69F4">
            <w:pPr>
              <w:widowControl w:val="0"/>
              <w:spacing w:line="240" w:lineRule="auto"/>
              <w:rPr>
                <w:b/>
              </w:rPr>
            </w:pPr>
            <w:proofErr w:type="spellStart"/>
            <w:r>
              <w:rPr>
                <w:b/>
              </w:rPr>
              <w:t>Definition</w:t>
            </w:r>
            <w:proofErr w:type="spellEnd"/>
          </w:p>
        </w:tc>
      </w:tr>
      <w:tr w:rsidR="004E4357" w:rsidRPr="004129D5" w14:paraId="0AB24B3E" w14:textId="77777777" w:rsidTr="006E69F4">
        <w:tc>
          <w:tcPr>
            <w:tcW w:w="1365" w:type="dxa"/>
            <w:shd w:val="clear" w:color="auto" w:fill="auto"/>
            <w:tcMar>
              <w:top w:w="100" w:type="dxa"/>
              <w:left w:w="100" w:type="dxa"/>
              <w:bottom w:w="100" w:type="dxa"/>
              <w:right w:w="100" w:type="dxa"/>
            </w:tcMar>
          </w:tcPr>
          <w:p w14:paraId="29DA2B4C" w14:textId="77777777" w:rsidR="004E4357" w:rsidRDefault="004E4357" w:rsidP="006E69F4">
            <w:pPr>
              <w:widowControl w:val="0"/>
              <w:spacing w:line="240" w:lineRule="auto"/>
            </w:pPr>
            <w:r>
              <w:t>I</w:t>
            </w:r>
          </w:p>
        </w:tc>
        <w:tc>
          <w:tcPr>
            <w:tcW w:w="6705" w:type="dxa"/>
            <w:shd w:val="clear" w:color="auto" w:fill="auto"/>
            <w:tcMar>
              <w:top w:w="100" w:type="dxa"/>
              <w:left w:w="100" w:type="dxa"/>
              <w:bottom w:w="100" w:type="dxa"/>
              <w:right w:w="100" w:type="dxa"/>
            </w:tcMar>
          </w:tcPr>
          <w:p w14:paraId="31BBBF9A" w14:textId="77777777" w:rsidR="004E4357" w:rsidRPr="004E4357" w:rsidRDefault="004E4357" w:rsidP="006E69F4">
            <w:pPr>
              <w:widowControl w:val="0"/>
              <w:spacing w:line="240" w:lineRule="auto"/>
              <w:rPr>
                <w:lang w:val="en-GB"/>
              </w:rPr>
            </w:pPr>
            <w:r w:rsidRPr="004E4357">
              <w:rPr>
                <w:lang w:val="en-GB"/>
              </w:rPr>
              <w:t xml:space="preserve">I: ISS I without high risk FISH (del(17p) and/or </w:t>
            </w:r>
            <w:proofErr w:type="gramStart"/>
            <w:r w:rsidRPr="004E4357">
              <w:rPr>
                <w:lang w:val="en-GB"/>
              </w:rPr>
              <w:t>t(</w:t>
            </w:r>
            <w:proofErr w:type="gramEnd"/>
            <w:r w:rsidRPr="004E4357">
              <w:rPr>
                <w:lang w:val="en-GB"/>
              </w:rPr>
              <w:t>4;14) and/or t(14;16)) and normal LDH</w:t>
            </w:r>
          </w:p>
        </w:tc>
      </w:tr>
      <w:tr w:rsidR="004E4357" w:rsidRPr="004129D5" w14:paraId="6861A898" w14:textId="77777777" w:rsidTr="006E69F4">
        <w:tc>
          <w:tcPr>
            <w:tcW w:w="1365" w:type="dxa"/>
            <w:shd w:val="clear" w:color="auto" w:fill="auto"/>
            <w:tcMar>
              <w:top w:w="100" w:type="dxa"/>
              <w:left w:w="100" w:type="dxa"/>
              <w:bottom w:w="100" w:type="dxa"/>
              <w:right w:w="100" w:type="dxa"/>
            </w:tcMar>
          </w:tcPr>
          <w:p w14:paraId="74FD4A42" w14:textId="77777777" w:rsidR="004E4357" w:rsidRDefault="004E4357" w:rsidP="006E69F4">
            <w:pPr>
              <w:widowControl w:val="0"/>
              <w:spacing w:line="240" w:lineRule="auto"/>
            </w:pPr>
            <w:r>
              <w:t>II</w:t>
            </w:r>
          </w:p>
        </w:tc>
        <w:tc>
          <w:tcPr>
            <w:tcW w:w="6705" w:type="dxa"/>
            <w:shd w:val="clear" w:color="auto" w:fill="auto"/>
            <w:tcMar>
              <w:top w:w="100" w:type="dxa"/>
              <w:left w:w="100" w:type="dxa"/>
              <w:bottom w:w="100" w:type="dxa"/>
              <w:right w:w="100" w:type="dxa"/>
            </w:tcMar>
          </w:tcPr>
          <w:p w14:paraId="3416C3C8" w14:textId="77777777" w:rsidR="004E4357" w:rsidRPr="004E4357" w:rsidRDefault="004E4357" w:rsidP="006E69F4">
            <w:pPr>
              <w:widowControl w:val="0"/>
              <w:spacing w:line="240" w:lineRule="auto"/>
              <w:rPr>
                <w:lang w:val="en-GB"/>
              </w:rPr>
            </w:pPr>
            <w:r w:rsidRPr="004E4357">
              <w:rPr>
                <w:lang w:val="en-GB"/>
              </w:rPr>
              <w:t>II: not R-ISS I or III</w:t>
            </w:r>
          </w:p>
        </w:tc>
      </w:tr>
      <w:tr w:rsidR="004E4357" w:rsidRPr="004129D5" w14:paraId="2C9A00A6" w14:textId="77777777" w:rsidTr="006E69F4">
        <w:tc>
          <w:tcPr>
            <w:tcW w:w="1365" w:type="dxa"/>
            <w:shd w:val="clear" w:color="auto" w:fill="auto"/>
            <w:tcMar>
              <w:top w:w="100" w:type="dxa"/>
              <w:left w:w="100" w:type="dxa"/>
              <w:bottom w:w="100" w:type="dxa"/>
              <w:right w:w="100" w:type="dxa"/>
            </w:tcMar>
          </w:tcPr>
          <w:p w14:paraId="058DC05D" w14:textId="77777777" w:rsidR="004E4357" w:rsidRDefault="004E4357" w:rsidP="006E69F4">
            <w:pPr>
              <w:widowControl w:val="0"/>
              <w:spacing w:line="240" w:lineRule="auto"/>
            </w:pPr>
            <w:r>
              <w:lastRenderedPageBreak/>
              <w:t>III</w:t>
            </w:r>
          </w:p>
        </w:tc>
        <w:tc>
          <w:tcPr>
            <w:tcW w:w="6705" w:type="dxa"/>
            <w:shd w:val="clear" w:color="auto" w:fill="auto"/>
            <w:tcMar>
              <w:top w:w="100" w:type="dxa"/>
              <w:left w:w="100" w:type="dxa"/>
              <w:bottom w:w="100" w:type="dxa"/>
              <w:right w:w="100" w:type="dxa"/>
            </w:tcMar>
          </w:tcPr>
          <w:p w14:paraId="2A196DE7" w14:textId="77777777" w:rsidR="004E4357" w:rsidRPr="004E4357" w:rsidRDefault="004E4357" w:rsidP="006E69F4">
            <w:pPr>
              <w:widowControl w:val="0"/>
              <w:spacing w:line="240" w:lineRule="auto"/>
              <w:rPr>
                <w:lang w:val="en-GB"/>
              </w:rPr>
            </w:pPr>
            <w:r w:rsidRPr="004E4357">
              <w:rPr>
                <w:lang w:val="en-GB"/>
              </w:rPr>
              <w:t xml:space="preserve">III: any ISS with high risk FISH (del(17p) and/or </w:t>
            </w:r>
            <w:proofErr w:type="gramStart"/>
            <w:r w:rsidRPr="004E4357">
              <w:rPr>
                <w:lang w:val="en-GB"/>
              </w:rPr>
              <w:t>t(</w:t>
            </w:r>
            <w:proofErr w:type="gramEnd"/>
            <w:r w:rsidRPr="004E4357">
              <w:rPr>
                <w:lang w:val="en-GB"/>
              </w:rPr>
              <w:t>4;14) and/or t(14;16)) and/or high LDH</w:t>
            </w:r>
          </w:p>
        </w:tc>
      </w:tr>
      <w:tr w:rsidR="004E4357" w:rsidRPr="004129D5" w14:paraId="3515C3CC" w14:textId="77777777" w:rsidTr="006E69F4">
        <w:tc>
          <w:tcPr>
            <w:tcW w:w="1365" w:type="dxa"/>
            <w:shd w:val="clear" w:color="auto" w:fill="auto"/>
            <w:tcMar>
              <w:top w:w="100" w:type="dxa"/>
              <w:left w:w="100" w:type="dxa"/>
              <w:bottom w:w="100" w:type="dxa"/>
              <w:right w:w="100" w:type="dxa"/>
            </w:tcMar>
          </w:tcPr>
          <w:p w14:paraId="2B17AFF4" w14:textId="77777777" w:rsidR="004E4357" w:rsidRDefault="004E4357" w:rsidP="006E69F4">
            <w:pPr>
              <w:widowControl w:val="0"/>
              <w:spacing w:line="240" w:lineRule="auto"/>
            </w:pPr>
            <w:proofErr w:type="spellStart"/>
            <w:r>
              <w:t>Unknown</w:t>
            </w:r>
            <w:proofErr w:type="spellEnd"/>
          </w:p>
        </w:tc>
        <w:tc>
          <w:tcPr>
            <w:tcW w:w="6705" w:type="dxa"/>
            <w:shd w:val="clear" w:color="auto" w:fill="auto"/>
            <w:tcMar>
              <w:top w:w="100" w:type="dxa"/>
              <w:left w:w="100" w:type="dxa"/>
              <w:bottom w:w="100" w:type="dxa"/>
              <w:right w:w="100" w:type="dxa"/>
            </w:tcMar>
          </w:tcPr>
          <w:p w14:paraId="46C600B4" w14:textId="77777777" w:rsidR="004E4357" w:rsidRPr="004E4357" w:rsidRDefault="004E4357" w:rsidP="006E69F4">
            <w:pPr>
              <w:widowControl w:val="0"/>
              <w:spacing w:line="240" w:lineRule="auto"/>
              <w:rPr>
                <w:lang w:val="en-GB"/>
              </w:rPr>
            </w:pPr>
            <w:r w:rsidRPr="004E4357">
              <w:rPr>
                <w:lang w:val="en-GB"/>
              </w:rPr>
              <w:t>The R-ISS stage is not known.</w:t>
            </w:r>
          </w:p>
        </w:tc>
      </w:tr>
    </w:tbl>
    <w:p w14:paraId="705CC12A" w14:textId="769530DA" w:rsidR="004E4357" w:rsidRPr="004E4357" w:rsidRDefault="004E4357" w:rsidP="00F62B94">
      <w:pPr>
        <w:rPr>
          <w:lang w:val="en-GB"/>
        </w:rPr>
      </w:pPr>
      <w:r w:rsidRPr="004E4357">
        <w:rPr>
          <w:i/>
          <w:lang w:val="en-GB"/>
        </w:rPr>
        <w:t>Table # Definitions of Revised ISS stages</w:t>
      </w:r>
    </w:p>
    <w:p w14:paraId="234021E1" w14:textId="77777777" w:rsidR="00D711C9" w:rsidRPr="00F62B94" w:rsidRDefault="00D711C9" w:rsidP="00F62B94">
      <w:pPr>
        <w:rPr>
          <w:lang w:val="en-GB"/>
        </w:rPr>
      </w:pPr>
    </w:p>
    <w:p w14:paraId="592F495A" w14:textId="7A000A63" w:rsidR="00F62B94" w:rsidRDefault="004E4357" w:rsidP="00F62B94">
      <w:pPr>
        <w:pStyle w:val="Ttulo2"/>
        <w:rPr>
          <w:lang w:val="en-US"/>
        </w:rPr>
      </w:pPr>
      <w:bookmarkStart w:id="12" w:name="_Toc135410254"/>
      <w:r w:rsidRPr="004E4357">
        <w:rPr>
          <w:lang w:val="en-US"/>
        </w:rPr>
        <w:t>4. Extramedullary disease (EMD) (report for Multiple myeloma only)</w:t>
      </w:r>
      <w:bookmarkEnd w:id="12"/>
    </w:p>
    <w:p w14:paraId="6793A589" w14:textId="77777777" w:rsidR="004E4357" w:rsidRPr="004E4357" w:rsidRDefault="004E4357" w:rsidP="004E4357">
      <w:pPr>
        <w:rPr>
          <w:lang w:val="en-GB"/>
        </w:rPr>
      </w:pPr>
      <w:r w:rsidRPr="004E4357">
        <w:rPr>
          <w:lang w:val="en-GB"/>
        </w:rPr>
        <w:t xml:space="preserve">EMD is an aggressive form of multiple myeloma (MM), characterised by the ability of a clone and/or subclone to thrive and grow independently of the bone marrow microenvironment. </w:t>
      </w:r>
    </w:p>
    <w:p w14:paraId="26425DC6" w14:textId="77777777" w:rsidR="004E4357" w:rsidRPr="004E4357" w:rsidRDefault="004E4357" w:rsidP="004E4357">
      <w:pPr>
        <w:rPr>
          <w:lang w:val="en-GB"/>
        </w:rPr>
      </w:pPr>
      <w:r w:rsidRPr="004E4357">
        <w:rPr>
          <w:lang w:val="en-GB"/>
        </w:rPr>
        <w:t>Please indicate if extramedullary involvement was diagnosed or not, or mark as unknown by ticking the corresponding box.</w:t>
      </w:r>
    </w:p>
    <w:p w14:paraId="5B144913" w14:textId="77777777" w:rsidR="004E4357" w:rsidRPr="004E4357" w:rsidRDefault="004E4357" w:rsidP="004E4357">
      <w:pPr>
        <w:rPr>
          <w:lang w:val="en-GB"/>
        </w:rPr>
      </w:pPr>
    </w:p>
    <w:p w14:paraId="34443711" w14:textId="77777777" w:rsidR="004E4357" w:rsidRPr="004E4357" w:rsidRDefault="004E4357" w:rsidP="004E4357">
      <w:pPr>
        <w:rPr>
          <w:lang w:val="en-GB"/>
        </w:rPr>
      </w:pPr>
      <w:r w:rsidRPr="004E4357">
        <w:rPr>
          <w:lang w:val="en-GB"/>
        </w:rPr>
        <w:t>4.1. Indicate if EMD was diagnosed on MRI or not, or if it is unknown.</w:t>
      </w:r>
    </w:p>
    <w:p w14:paraId="380166DC" w14:textId="77777777" w:rsidR="004E4357" w:rsidRPr="004E4357" w:rsidRDefault="004E4357" w:rsidP="004E4357">
      <w:pPr>
        <w:rPr>
          <w:lang w:val="en-GB"/>
        </w:rPr>
      </w:pPr>
      <w:r w:rsidRPr="004E4357">
        <w:rPr>
          <w:lang w:val="en-GB"/>
        </w:rPr>
        <w:t>4.2. Indicate if EMD was diagnosed on PET-CT or not, or if it is unknown.</w:t>
      </w:r>
    </w:p>
    <w:p w14:paraId="28D3DE0A" w14:textId="77777777" w:rsidR="004E4357" w:rsidRPr="004E4357" w:rsidRDefault="004E4357" w:rsidP="004E4357">
      <w:pPr>
        <w:rPr>
          <w:lang w:val="en-GB"/>
        </w:rPr>
      </w:pPr>
      <w:r w:rsidRPr="004E4357">
        <w:rPr>
          <w:lang w:val="en-GB"/>
        </w:rPr>
        <w:t xml:space="preserve">4.3. Specify the location of EMD by marking it as </w:t>
      </w:r>
      <w:proofErr w:type="spellStart"/>
      <w:r w:rsidRPr="004E4357">
        <w:rPr>
          <w:lang w:val="en-GB"/>
        </w:rPr>
        <w:t>paraskeletal</w:t>
      </w:r>
      <w:proofErr w:type="spellEnd"/>
      <w:r w:rsidRPr="004E4357">
        <w:rPr>
          <w:lang w:val="en-GB"/>
        </w:rPr>
        <w:t>, organ (i.e. extramedullary), or both (</w:t>
      </w:r>
      <w:proofErr w:type="spellStart"/>
      <w:r w:rsidRPr="004E4357">
        <w:rPr>
          <w:lang w:val="en-GB"/>
        </w:rPr>
        <w:t>paraskeletal</w:t>
      </w:r>
      <w:proofErr w:type="spellEnd"/>
      <w:r w:rsidRPr="004E4357">
        <w:rPr>
          <w:lang w:val="en-GB"/>
        </w:rPr>
        <w:t xml:space="preserve"> AND organ (extramedullary)) or as unknown, if the location is not known. </w:t>
      </w:r>
    </w:p>
    <w:p w14:paraId="62F9F07C" w14:textId="77777777" w:rsidR="004E4357" w:rsidRPr="004E4357" w:rsidRDefault="004E4357" w:rsidP="004E4357">
      <w:pPr>
        <w:rPr>
          <w:lang w:val="en-GB"/>
        </w:rPr>
      </w:pPr>
      <w:r w:rsidRPr="004E4357">
        <w:rPr>
          <w:lang w:val="en-GB"/>
        </w:rPr>
        <w:t>4.4. Indicate the number of sites or mark as unknown.</w:t>
      </w:r>
    </w:p>
    <w:p w14:paraId="061DD877" w14:textId="6EFEBDBE" w:rsidR="00F62B94" w:rsidRPr="004E4357" w:rsidRDefault="004E4357" w:rsidP="004E4357">
      <w:pPr>
        <w:rPr>
          <w:lang w:val="en-GB"/>
        </w:rPr>
      </w:pPr>
      <w:r w:rsidRPr="004E4357">
        <w:rPr>
          <w:lang w:val="en-GB"/>
        </w:rPr>
        <w:t>4.5. Specify the organ or organs where EMD was found.</w:t>
      </w:r>
    </w:p>
    <w:p w14:paraId="42060DBE" w14:textId="77777777" w:rsidR="00F62B94" w:rsidRPr="004E4357" w:rsidRDefault="00F62B94" w:rsidP="00F62B94">
      <w:pPr>
        <w:rPr>
          <w:lang w:val="en-GB"/>
        </w:rPr>
      </w:pPr>
    </w:p>
    <w:p w14:paraId="7D4A1AEB" w14:textId="1BE4B86A" w:rsidR="00F62B94" w:rsidRPr="00F62B94" w:rsidRDefault="004E4357" w:rsidP="004E4357">
      <w:pPr>
        <w:pStyle w:val="Ttulo2"/>
        <w:rPr>
          <w:lang w:val="en-US"/>
        </w:rPr>
      </w:pPr>
      <w:bookmarkStart w:id="13" w:name="_Toc135410255"/>
      <w:r w:rsidRPr="004E4357">
        <w:rPr>
          <w:lang w:val="en-US"/>
        </w:rPr>
        <w:t>5. Chromosome analysis at diagnosis (report for all types except Systemic AL Amyloidosis</w:t>
      </w:r>
      <w:r>
        <w:rPr>
          <w:lang w:val="en-US"/>
        </w:rPr>
        <w:t>)</w:t>
      </w:r>
      <w:bookmarkEnd w:id="13"/>
    </w:p>
    <w:p w14:paraId="19E4DA32" w14:textId="26258350" w:rsidR="004E4357" w:rsidRPr="004E4357" w:rsidRDefault="004E4357" w:rsidP="004E4357">
      <w:pPr>
        <w:rPr>
          <w:lang w:val="en-GB"/>
        </w:rPr>
      </w:pPr>
      <w:r w:rsidRPr="004E4357">
        <w:rPr>
          <w:lang w:val="en-GB"/>
        </w:rPr>
        <w:t>Choose the answer based on all analyses from diagnosis, but before treatment. Please enter the results of the most recent complete analysis. Abnormalities to be reported can be detected by all methods, though it is almost always by FISH:</w:t>
      </w:r>
    </w:p>
    <w:p w14:paraId="7B935E18" w14:textId="086C0571" w:rsidR="004E4357" w:rsidRPr="004E4357" w:rsidRDefault="004E4357" w:rsidP="004E4357">
      <w:pPr>
        <w:ind w:left="708"/>
        <w:rPr>
          <w:lang w:val="en-GB"/>
        </w:rPr>
      </w:pPr>
      <w:r w:rsidRPr="004E4357">
        <w:rPr>
          <w:b/>
          <w:lang w:val="en-GB"/>
        </w:rPr>
        <w:t>Not done or failed</w:t>
      </w:r>
      <w:r w:rsidRPr="004E4357">
        <w:rPr>
          <w:lang w:val="en-GB"/>
        </w:rPr>
        <w:t xml:space="preserve"> - choose this answer option if chromosome analysis was not done before treatment or if it failed</w:t>
      </w:r>
    </w:p>
    <w:p w14:paraId="5F8DA5D2" w14:textId="77777777" w:rsidR="004E4357" w:rsidRPr="004E4357" w:rsidRDefault="004E4357" w:rsidP="004E4357">
      <w:pPr>
        <w:ind w:left="708"/>
        <w:rPr>
          <w:lang w:val="en-GB"/>
        </w:rPr>
      </w:pPr>
      <w:r w:rsidRPr="004E4357">
        <w:rPr>
          <w:b/>
          <w:lang w:val="en-GB"/>
        </w:rPr>
        <w:t>Abnormal</w:t>
      </w:r>
      <w:r w:rsidRPr="004E4357">
        <w:rPr>
          <w:lang w:val="en-GB"/>
        </w:rPr>
        <w:t xml:space="preserve"> - choose this answer option if at least one analysis has been found to be abnormal. Write the number of abnormalities present in the most recent analysis with abnormal results</w:t>
      </w:r>
    </w:p>
    <w:p w14:paraId="42031ECC" w14:textId="082B5C72" w:rsidR="004E4357" w:rsidRPr="004E4357" w:rsidRDefault="004E4357" w:rsidP="004129D5">
      <w:pPr>
        <w:ind w:left="708"/>
        <w:rPr>
          <w:lang w:val="en-GB"/>
        </w:rPr>
      </w:pPr>
      <w:r w:rsidRPr="004E4357">
        <w:rPr>
          <w:b/>
          <w:lang w:val="en-GB"/>
        </w:rPr>
        <w:lastRenderedPageBreak/>
        <w:t>Unknown</w:t>
      </w:r>
      <w:r w:rsidRPr="004E4357">
        <w:rPr>
          <w:lang w:val="en-GB"/>
        </w:rPr>
        <w:t xml:space="preserve"> - if it is unknown whether chromosome analysis was performed before treatment was started </w:t>
      </w:r>
    </w:p>
    <w:p w14:paraId="1EF7B4F7" w14:textId="71E44CC1" w:rsidR="00F62B94" w:rsidRPr="00F62B94" w:rsidRDefault="004E4357" w:rsidP="004E4357">
      <w:pPr>
        <w:rPr>
          <w:lang w:val="en-GB"/>
        </w:rPr>
      </w:pPr>
      <w:r w:rsidRPr="004E4357">
        <w:rPr>
          <w:lang w:val="en-GB"/>
        </w:rPr>
        <w:t xml:space="preserve">Note: </w:t>
      </w:r>
      <w:r w:rsidRPr="004A634C">
        <w:rPr>
          <w:b/>
          <w:lang w:val="en-GB"/>
        </w:rPr>
        <w:t>‘Normal’ is generally not an answer option for</w:t>
      </w:r>
      <w:r w:rsidRPr="004E4357">
        <w:rPr>
          <w:lang w:val="en-GB"/>
        </w:rPr>
        <w:t xml:space="preserve"> this question, because that would imply that the test was not performed on bone marrow plasma cells. If this is the case and the result is shown as normal in the patient record, it should be reported here as </w:t>
      </w:r>
      <w:r w:rsidRPr="004A634C">
        <w:rPr>
          <w:b/>
          <w:lang w:val="en-GB"/>
        </w:rPr>
        <w:t>Not done/failed</w:t>
      </w:r>
      <w:r w:rsidRPr="004E4357">
        <w:rPr>
          <w:lang w:val="en-GB"/>
        </w:rPr>
        <w:t>.</w:t>
      </w:r>
      <w:r w:rsidR="00F62B94" w:rsidRPr="00F62B94">
        <w:rPr>
          <w:lang w:val="en-GB"/>
        </w:rPr>
        <w:t xml:space="preserve"> </w:t>
      </w:r>
    </w:p>
    <w:p w14:paraId="4C889EEA" w14:textId="1377F612" w:rsidR="00F62B94" w:rsidRDefault="00F62B94" w:rsidP="005D36E1">
      <w:pPr>
        <w:rPr>
          <w:lang w:val="en-GB"/>
        </w:rPr>
      </w:pPr>
    </w:p>
    <w:p w14:paraId="7C27DC10" w14:textId="6E9B6D13" w:rsidR="004A634C" w:rsidRDefault="004A634C" w:rsidP="004A634C">
      <w:pPr>
        <w:pStyle w:val="Ttulo3"/>
        <w:rPr>
          <w:lang w:val="en-GB"/>
        </w:rPr>
      </w:pPr>
      <w:bookmarkStart w:id="14" w:name="_Toc135410256"/>
      <w:r w:rsidRPr="004A634C">
        <w:rPr>
          <w:lang w:val="en-GB"/>
        </w:rPr>
        <w:t>5.1. Date of chromosome analysis (if tested)</w:t>
      </w:r>
      <w:bookmarkEnd w:id="14"/>
    </w:p>
    <w:p w14:paraId="7F2ADB85" w14:textId="77777777" w:rsidR="004A634C" w:rsidRPr="004A634C" w:rsidRDefault="004A634C" w:rsidP="004A634C">
      <w:pPr>
        <w:rPr>
          <w:lang w:val="en-GB"/>
        </w:rPr>
      </w:pPr>
      <w:r w:rsidRPr="004A634C">
        <w:rPr>
          <w:lang w:val="en-GB"/>
        </w:rPr>
        <w:t xml:space="preserve">Indicate the date of the most recent, complete chromosome analysis. </w:t>
      </w:r>
    </w:p>
    <w:p w14:paraId="7A81E0C5" w14:textId="6F93B3D3" w:rsidR="004A634C" w:rsidRDefault="004A634C" w:rsidP="004A634C">
      <w:pPr>
        <w:rPr>
          <w:lang w:val="en-GB"/>
        </w:rPr>
      </w:pPr>
      <w:r w:rsidRPr="004A634C">
        <w:rPr>
          <w:lang w:val="en-GB"/>
        </w:rPr>
        <w:t>If chromosome analysis was not done, failed or unknown, leave the field blank</w:t>
      </w:r>
      <w:r>
        <w:rPr>
          <w:lang w:val="en-GB"/>
        </w:rPr>
        <w:t>.</w:t>
      </w:r>
    </w:p>
    <w:p w14:paraId="1066A94E" w14:textId="4D79CE5B" w:rsidR="004A634C" w:rsidRDefault="004A634C" w:rsidP="004A634C">
      <w:pPr>
        <w:rPr>
          <w:lang w:val="en-GB"/>
        </w:rPr>
      </w:pPr>
    </w:p>
    <w:p w14:paraId="54EE5BAA" w14:textId="5BB46E82" w:rsidR="004A634C" w:rsidRDefault="004A634C" w:rsidP="004A634C">
      <w:pPr>
        <w:pStyle w:val="Ttulo3"/>
        <w:rPr>
          <w:lang w:val="en-GB"/>
        </w:rPr>
      </w:pPr>
      <w:bookmarkStart w:id="15" w:name="_Toc135410257"/>
      <w:r w:rsidRPr="004A634C">
        <w:rPr>
          <w:lang w:val="en-GB"/>
        </w:rPr>
        <w:t>5.2. Chromosome analysis method</w:t>
      </w:r>
      <w:bookmarkEnd w:id="15"/>
    </w:p>
    <w:p w14:paraId="60726741" w14:textId="77777777" w:rsidR="004A634C" w:rsidRPr="004A634C" w:rsidRDefault="004A634C" w:rsidP="004A634C">
      <w:pPr>
        <w:rPr>
          <w:lang w:val="en-GB"/>
        </w:rPr>
      </w:pPr>
      <w:r w:rsidRPr="004A634C">
        <w:rPr>
          <w:lang w:val="en-GB"/>
        </w:rPr>
        <w:t xml:space="preserve">Indicate the method used for chromosome analysis. In PCD, it is almost always FISH. </w:t>
      </w:r>
    </w:p>
    <w:p w14:paraId="1F82F8A1" w14:textId="31BB39E4" w:rsidR="004A634C" w:rsidRDefault="004A634C" w:rsidP="004A634C">
      <w:pPr>
        <w:rPr>
          <w:lang w:val="en-GB"/>
        </w:rPr>
      </w:pPr>
      <w:r w:rsidRPr="004A634C">
        <w:rPr>
          <w:lang w:val="en-GB"/>
        </w:rPr>
        <w:t>If chromosome analysis was not done, failed or unknown, leave the field blank</w:t>
      </w:r>
      <w:r>
        <w:rPr>
          <w:lang w:val="en-GB"/>
        </w:rPr>
        <w:t>.</w:t>
      </w:r>
    </w:p>
    <w:p w14:paraId="76A8A090" w14:textId="3E24B21E" w:rsidR="004A634C" w:rsidRDefault="004A634C" w:rsidP="004A634C">
      <w:pPr>
        <w:rPr>
          <w:lang w:val="en-GB"/>
        </w:rPr>
      </w:pPr>
    </w:p>
    <w:p w14:paraId="20D201D7" w14:textId="34004DC4" w:rsidR="004A634C" w:rsidRDefault="004A634C" w:rsidP="004A634C">
      <w:pPr>
        <w:pStyle w:val="Ttulo3"/>
        <w:rPr>
          <w:lang w:val="en-GB"/>
        </w:rPr>
      </w:pPr>
      <w:bookmarkStart w:id="16" w:name="_Toc135410258"/>
      <w:r w:rsidRPr="004A634C">
        <w:rPr>
          <w:lang w:val="en-GB"/>
        </w:rPr>
        <w:t>5.3. Chromosome analysis details</w:t>
      </w:r>
      <w:bookmarkEnd w:id="16"/>
    </w:p>
    <w:p w14:paraId="6D22D601" w14:textId="028646BA" w:rsidR="004A634C" w:rsidRPr="004A634C" w:rsidRDefault="004A634C" w:rsidP="004A634C">
      <w:pPr>
        <w:rPr>
          <w:lang w:val="en-GB"/>
        </w:rPr>
      </w:pPr>
      <w:r w:rsidRPr="004A634C">
        <w:rPr>
          <w:lang w:val="en-GB"/>
        </w:rPr>
        <w:t>Indicate per each abnormality in the table if it was absent, present, or not evaluated in the chromosome analysis reported above. If there were other abnormalities tested that are not mentioned in the table, specify the abnormality and if it was absent or present.</w:t>
      </w:r>
    </w:p>
    <w:p w14:paraId="76DCE843" w14:textId="4838FF45" w:rsidR="004A634C" w:rsidRDefault="004A634C" w:rsidP="004A634C">
      <w:pPr>
        <w:rPr>
          <w:lang w:val="en-GB"/>
        </w:rPr>
      </w:pPr>
      <w:r w:rsidRPr="004A634C">
        <w:rPr>
          <w:lang w:val="en-GB"/>
        </w:rPr>
        <w:t>Note: Chromosome analysis is very important since specific abnormalities have emerged as one of the major prognostic factors. Please complete this section as carefully as possible in each single patient</w:t>
      </w:r>
      <w:r>
        <w:rPr>
          <w:lang w:val="en-GB"/>
        </w:rPr>
        <w:t>.</w:t>
      </w:r>
    </w:p>
    <w:p w14:paraId="4DA5CC1D" w14:textId="6C944A67" w:rsidR="004A634C" w:rsidRDefault="004A634C" w:rsidP="004A634C">
      <w:pPr>
        <w:rPr>
          <w:lang w:val="en-GB"/>
        </w:rPr>
      </w:pPr>
    </w:p>
    <w:p w14:paraId="0FF73168" w14:textId="0AB41832" w:rsidR="004A634C" w:rsidRDefault="004A634C" w:rsidP="004A634C">
      <w:pPr>
        <w:pStyle w:val="Ttulo3"/>
        <w:rPr>
          <w:lang w:val="en-GB"/>
        </w:rPr>
      </w:pPr>
      <w:bookmarkStart w:id="17" w:name="_Toc135410259"/>
      <w:r w:rsidRPr="004A634C">
        <w:rPr>
          <w:lang w:val="en-GB"/>
        </w:rPr>
        <w:t>5.4. Transcribe the complete karyotype</w:t>
      </w:r>
      <w:bookmarkEnd w:id="17"/>
    </w:p>
    <w:p w14:paraId="6C6FC3E1" w14:textId="0DE6912C" w:rsidR="004A634C" w:rsidRPr="004A634C" w:rsidRDefault="004A634C" w:rsidP="004A634C">
      <w:pPr>
        <w:rPr>
          <w:lang w:val="en-GB"/>
        </w:rPr>
      </w:pPr>
      <w:r w:rsidRPr="004A634C">
        <w:rPr>
          <w:lang w:val="en-GB"/>
        </w:rPr>
        <w:t xml:space="preserve">If it is not possible to report the chromosome analysis results based on the abnormalities listed in the Table, or if the result of the chromosome analysis is too complex, the complete karyotype should be entered here. Describe all abnormalities according to the ISCN karyotype nomenclature. This notation includes the total number of chromosomes, the sex chromosomes, and any extra or missing autosomal chromosomes. For example, </w:t>
      </w:r>
      <w:r w:rsidRPr="004A634C">
        <w:rPr>
          <w:b/>
          <w:lang w:val="en-GB"/>
        </w:rPr>
        <w:t>47, XY, +18</w:t>
      </w:r>
      <w:r w:rsidRPr="004A634C">
        <w:rPr>
          <w:lang w:val="en-GB"/>
        </w:rPr>
        <w:t xml:space="preserve"> indicates that the patient has 47 chromosomes, is a male, and has an additional copy of autosomal chromosome 18</w:t>
      </w:r>
      <w:r>
        <w:rPr>
          <w:lang w:val="en-GB"/>
        </w:rPr>
        <w:t>.</w:t>
      </w:r>
    </w:p>
    <w:p w14:paraId="449202FA" w14:textId="77777777" w:rsidR="00D711C9" w:rsidRDefault="00D711C9" w:rsidP="005D36E1">
      <w:pPr>
        <w:rPr>
          <w:lang w:val="en-GB"/>
        </w:rPr>
      </w:pPr>
    </w:p>
    <w:p w14:paraId="07AB156C" w14:textId="66FD2DB9" w:rsidR="002A2803" w:rsidRDefault="004A634C" w:rsidP="009364C1">
      <w:pPr>
        <w:pStyle w:val="Ttulo1"/>
        <w:rPr>
          <w:lang w:val="en-GB"/>
        </w:rPr>
      </w:pPr>
      <w:bookmarkStart w:id="18" w:name="_Toc135410260"/>
      <w:r w:rsidRPr="004A634C">
        <w:rPr>
          <w:lang w:val="en-GB"/>
        </w:rPr>
        <w:lastRenderedPageBreak/>
        <w:t>Bibliograph</w:t>
      </w:r>
      <w:r>
        <w:rPr>
          <w:lang w:val="en-GB"/>
        </w:rPr>
        <w:t>y</w:t>
      </w:r>
      <w:bookmarkEnd w:id="18"/>
    </w:p>
    <w:p w14:paraId="6C0220E4" w14:textId="4DE002AC" w:rsidR="009364C1" w:rsidRDefault="004A634C" w:rsidP="009364C1">
      <w:pPr>
        <w:pStyle w:val="Prrafodelista"/>
        <w:numPr>
          <w:ilvl w:val="0"/>
          <w:numId w:val="2"/>
        </w:numPr>
        <w:rPr>
          <w:lang w:val="en-GB"/>
        </w:rPr>
      </w:pPr>
      <w:r w:rsidRPr="004A634C">
        <w:rPr>
          <w:lang w:val="en-GB"/>
        </w:rPr>
        <w:t xml:space="preserve">Campo E, Harris NL, </w:t>
      </w:r>
      <w:proofErr w:type="spellStart"/>
      <w:r w:rsidRPr="004A634C">
        <w:rPr>
          <w:lang w:val="en-GB"/>
        </w:rPr>
        <w:t>Pileri</w:t>
      </w:r>
      <w:proofErr w:type="spellEnd"/>
      <w:r w:rsidRPr="004A634C">
        <w:rPr>
          <w:lang w:val="en-GB"/>
        </w:rPr>
        <w:t xml:space="preserve"> SA, Jaffe ES, Stein H, Thiele J. WHO Classification of Tumours of Haematopoietic and Lymphoid Tissues. IARC Who Classification of Tum; 2017. 586 p</w:t>
      </w:r>
      <w:r>
        <w:rPr>
          <w:lang w:val="en-GB"/>
        </w:rPr>
        <w:t>.</w:t>
      </w:r>
    </w:p>
    <w:p w14:paraId="435E875B" w14:textId="25D35B39" w:rsidR="009364C1" w:rsidRPr="009364C1" w:rsidRDefault="009364C1" w:rsidP="004A634C">
      <w:pPr>
        <w:pStyle w:val="Prrafodelista"/>
        <w:rPr>
          <w:lang w:val="en-GB"/>
        </w:rPr>
      </w:pPr>
    </w:p>
    <w:sectPr w:rsidR="009364C1" w:rsidRPr="009364C1" w:rsidSect="002F5A87">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D3BB8" w14:textId="77777777" w:rsidR="00B35196" w:rsidRDefault="00B35196" w:rsidP="005975F1">
      <w:r>
        <w:separator/>
      </w:r>
    </w:p>
  </w:endnote>
  <w:endnote w:type="continuationSeparator" w:id="0">
    <w:p w14:paraId="53FE0B3E" w14:textId="77777777" w:rsidR="00B35196" w:rsidRDefault="00B35196"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95994012"/>
      <w:docPartObj>
        <w:docPartGallery w:val="Page Numbers (Bottom of Page)"/>
        <w:docPartUnique/>
      </w:docPartObj>
    </w:sdtPr>
    <w:sdtEndPr>
      <w:rPr>
        <w:rStyle w:val="Nmerodepgina"/>
      </w:rPr>
    </w:sdtEndPr>
    <w:sdtContent>
      <w:p w14:paraId="522E9D33" w14:textId="3B41E54B" w:rsidR="0029606C" w:rsidRDefault="0029606C" w:rsidP="005323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F5A87">
          <w:rPr>
            <w:rStyle w:val="Nmerodepgina"/>
            <w:noProof/>
          </w:rPr>
          <w:t>2</w:t>
        </w:r>
        <w:r>
          <w:rPr>
            <w:rStyle w:val="Nmerodepgina"/>
          </w:rPr>
          <w:fldChar w:fldCharType="end"/>
        </w:r>
      </w:p>
    </w:sdtContent>
  </w:sdt>
  <w:p w14:paraId="61517CA6" w14:textId="77777777" w:rsidR="0029606C" w:rsidRDefault="0029606C" w:rsidP="002960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15"/>
        <w:szCs w:val="15"/>
      </w:rPr>
      <w:id w:val="1037785932"/>
      <w:docPartObj>
        <w:docPartGallery w:val="Page Numbers (Bottom of Page)"/>
        <w:docPartUnique/>
      </w:docPartObj>
    </w:sdtPr>
    <w:sdtEndPr>
      <w:rPr>
        <w:rStyle w:val="Nmerodepgina"/>
      </w:rPr>
    </w:sdtEndPr>
    <w:sdtContent>
      <w:p w14:paraId="2B951551" w14:textId="77777777" w:rsidR="0029606C" w:rsidRPr="002F5A87" w:rsidRDefault="0029606C" w:rsidP="0029606C">
        <w:pPr>
          <w:pStyle w:val="Piedepgina"/>
          <w:framePr w:h="944" w:hRule="exact" w:wrap="none" w:vAnchor="text" w:hAnchor="margin" w:xAlign="right" w:y="-656"/>
          <w:rPr>
            <w:rStyle w:val="Nmerodepgina"/>
            <w:rFonts w:ascii="Arial" w:hAnsi="Arial" w:cs="Arial"/>
            <w:sz w:val="15"/>
            <w:szCs w:val="15"/>
            <w:lang w:val="en-GB"/>
          </w:rPr>
        </w:pPr>
        <w:r w:rsidRPr="0029606C">
          <w:rPr>
            <w:rStyle w:val="Nmerodepgina"/>
            <w:rFonts w:ascii="Arial" w:hAnsi="Arial" w:cs="Arial"/>
            <w:sz w:val="15"/>
            <w:szCs w:val="15"/>
          </w:rPr>
          <w:fldChar w:fldCharType="begin"/>
        </w:r>
        <w:r w:rsidRPr="00D9245A">
          <w:rPr>
            <w:rStyle w:val="Nmerodepgina"/>
            <w:rFonts w:ascii="Arial" w:hAnsi="Arial" w:cs="Arial"/>
            <w:sz w:val="15"/>
            <w:szCs w:val="15"/>
            <w:lang w:val="en-GB"/>
          </w:rPr>
          <w:instrText xml:space="preserve"> PAGE </w:instrText>
        </w:r>
        <w:r w:rsidRPr="0029606C">
          <w:rPr>
            <w:rStyle w:val="Nmerodepgina"/>
            <w:rFonts w:ascii="Arial" w:hAnsi="Arial" w:cs="Arial"/>
            <w:sz w:val="15"/>
            <w:szCs w:val="15"/>
          </w:rPr>
          <w:fldChar w:fldCharType="separate"/>
        </w:r>
        <w:r w:rsidRPr="00D9245A">
          <w:rPr>
            <w:rStyle w:val="Nmerodepgina"/>
            <w:rFonts w:ascii="Arial" w:hAnsi="Arial" w:cs="Arial"/>
            <w:noProof/>
            <w:sz w:val="15"/>
            <w:szCs w:val="15"/>
            <w:lang w:val="en-GB"/>
          </w:rPr>
          <w:t>1</w:t>
        </w:r>
        <w:r w:rsidRPr="0029606C">
          <w:rPr>
            <w:rStyle w:val="Nmerodepgina"/>
            <w:rFonts w:ascii="Arial" w:hAnsi="Arial" w:cs="Arial"/>
            <w:sz w:val="15"/>
            <w:szCs w:val="15"/>
          </w:rPr>
          <w:fldChar w:fldCharType="end"/>
        </w:r>
      </w:p>
    </w:sdtContent>
  </w:sdt>
  <w:p w14:paraId="115F8372" w14:textId="5D3497C6" w:rsidR="004F7F1E" w:rsidRPr="002F5A87" w:rsidRDefault="004F7F1E" w:rsidP="00D711C9">
    <w:pPr>
      <w:pStyle w:val="Piedepgina"/>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200" w14:textId="50ED1643" w:rsidR="00FD1041" w:rsidRPr="002F5A87" w:rsidRDefault="00FD1041" w:rsidP="00EB06C2">
    <w:pPr>
      <w:pStyle w:val="Piedepgina"/>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6631" w14:textId="77777777" w:rsidR="00B35196" w:rsidRDefault="00B35196" w:rsidP="005975F1">
      <w:r>
        <w:separator/>
      </w:r>
    </w:p>
  </w:footnote>
  <w:footnote w:type="continuationSeparator" w:id="0">
    <w:p w14:paraId="312C8442" w14:textId="77777777" w:rsidR="00B35196" w:rsidRDefault="00B35196" w:rsidP="005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CC6" w14:textId="77777777" w:rsidR="004F7F1E" w:rsidRDefault="00B35196">
    <w:pPr>
      <w:pStyle w:val="Encabezado"/>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2049"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C352" w14:textId="1B3E3ECC" w:rsidR="002F5A87" w:rsidRDefault="002F5A87" w:rsidP="002F5A87">
    <w:pPr>
      <w:pStyle w:val="Encabezado"/>
      <w:jc w:val="right"/>
    </w:pPr>
  </w:p>
  <w:p w14:paraId="53C1FA04" w14:textId="0F2C722D" w:rsidR="002F5A87" w:rsidRDefault="002F5A87" w:rsidP="00EF3A29">
    <w:pPr>
      <w:pStyle w:val="Encabezado"/>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DA3FC" w14:textId="62AC830D" w:rsidR="002F5A87" w:rsidRDefault="002F5A87" w:rsidP="00EF3A29">
    <w:pPr>
      <w:pStyle w:val="Encabezado"/>
      <w:spacing w:line="240" w:lineRule="auto"/>
      <w:jc w:val="right"/>
      <w:rPr>
        <w:sz w:val="18"/>
        <w:szCs w:val="18"/>
      </w:rPr>
    </w:pPr>
    <w:r w:rsidRPr="002F5A87">
      <w:rPr>
        <w:sz w:val="18"/>
        <w:szCs w:val="18"/>
      </w:rPr>
      <w:t xml:space="preserve">NAME OF FORM </w:t>
    </w:r>
  </w:p>
  <w:p w14:paraId="105465EA" w14:textId="77777777" w:rsidR="000D05A5" w:rsidRDefault="000D05A5" w:rsidP="00EF3A29">
    <w:pPr>
      <w:pStyle w:val="Encabezado"/>
      <w:spacing w:line="240" w:lineRule="auto"/>
      <w:jc w:val="right"/>
      <w:rPr>
        <w:sz w:val="18"/>
        <w:szCs w:val="18"/>
      </w:rPr>
    </w:pPr>
  </w:p>
  <w:p w14:paraId="54ED3B8C" w14:textId="77777777" w:rsidR="00EF3A29" w:rsidRPr="002F5A87" w:rsidRDefault="00EF3A29" w:rsidP="00EF3A29">
    <w:pPr>
      <w:pStyle w:val="Encabezado"/>
      <w:spacing w:line="240" w:lineRule="auto"/>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DB03" w14:textId="21702474" w:rsidR="00FD1041" w:rsidRDefault="002F5A87">
    <w:pPr>
      <w:pStyle w:val="Encabezado"/>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D05A5"/>
    <w:rsid w:val="00101C98"/>
    <w:rsid w:val="00112363"/>
    <w:rsid w:val="00117225"/>
    <w:rsid w:val="00190EC3"/>
    <w:rsid w:val="002012F6"/>
    <w:rsid w:val="00247F78"/>
    <w:rsid w:val="00260306"/>
    <w:rsid w:val="00260523"/>
    <w:rsid w:val="00262435"/>
    <w:rsid w:val="00270D30"/>
    <w:rsid w:val="0029606C"/>
    <w:rsid w:val="002A2803"/>
    <w:rsid w:val="002C5DA6"/>
    <w:rsid w:val="002C6D03"/>
    <w:rsid w:val="002D18DD"/>
    <w:rsid w:val="002F5A87"/>
    <w:rsid w:val="00303676"/>
    <w:rsid w:val="00311FFB"/>
    <w:rsid w:val="00331CCC"/>
    <w:rsid w:val="00345B6C"/>
    <w:rsid w:val="003D2E9E"/>
    <w:rsid w:val="003D58EB"/>
    <w:rsid w:val="0040560B"/>
    <w:rsid w:val="004129D5"/>
    <w:rsid w:val="00415D14"/>
    <w:rsid w:val="00484DDF"/>
    <w:rsid w:val="004A5182"/>
    <w:rsid w:val="004A634C"/>
    <w:rsid w:val="004C1B08"/>
    <w:rsid w:val="004D6485"/>
    <w:rsid w:val="004E4357"/>
    <w:rsid w:val="004F7F1E"/>
    <w:rsid w:val="005039F1"/>
    <w:rsid w:val="00521681"/>
    <w:rsid w:val="00535C06"/>
    <w:rsid w:val="00536BC8"/>
    <w:rsid w:val="00571480"/>
    <w:rsid w:val="005975F1"/>
    <w:rsid w:val="005A3496"/>
    <w:rsid w:val="005D36E1"/>
    <w:rsid w:val="006140E1"/>
    <w:rsid w:val="006163E8"/>
    <w:rsid w:val="006434D3"/>
    <w:rsid w:val="00653544"/>
    <w:rsid w:val="006B5145"/>
    <w:rsid w:val="006B7875"/>
    <w:rsid w:val="006C4164"/>
    <w:rsid w:val="006C4DAF"/>
    <w:rsid w:val="00757C19"/>
    <w:rsid w:val="00777C81"/>
    <w:rsid w:val="00791FE2"/>
    <w:rsid w:val="007A1C3D"/>
    <w:rsid w:val="0080230B"/>
    <w:rsid w:val="00843797"/>
    <w:rsid w:val="00864F40"/>
    <w:rsid w:val="0089031E"/>
    <w:rsid w:val="00920304"/>
    <w:rsid w:val="009364C1"/>
    <w:rsid w:val="009B4195"/>
    <w:rsid w:val="00A025B8"/>
    <w:rsid w:val="00A06D3F"/>
    <w:rsid w:val="00A56F19"/>
    <w:rsid w:val="00A655EA"/>
    <w:rsid w:val="00A91EC9"/>
    <w:rsid w:val="00A95526"/>
    <w:rsid w:val="00A95F80"/>
    <w:rsid w:val="00AA387A"/>
    <w:rsid w:val="00B168CE"/>
    <w:rsid w:val="00B35196"/>
    <w:rsid w:val="00B66BF5"/>
    <w:rsid w:val="00BF1C9F"/>
    <w:rsid w:val="00C30824"/>
    <w:rsid w:val="00C4485C"/>
    <w:rsid w:val="00C45EA7"/>
    <w:rsid w:val="00C4733F"/>
    <w:rsid w:val="00C51538"/>
    <w:rsid w:val="00CA3A26"/>
    <w:rsid w:val="00CB29A9"/>
    <w:rsid w:val="00CD3B5E"/>
    <w:rsid w:val="00D217A9"/>
    <w:rsid w:val="00D36651"/>
    <w:rsid w:val="00D711C9"/>
    <w:rsid w:val="00D9245A"/>
    <w:rsid w:val="00DB00DF"/>
    <w:rsid w:val="00DD1CFB"/>
    <w:rsid w:val="00E00D4F"/>
    <w:rsid w:val="00EB06C2"/>
    <w:rsid w:val="00ED7E9F"/>
    <w:rsid w:val="00EF3A29"/>
    <w:rsid w:val="00F27E52"/>
    <w:rsid w:val="00F470A1"/>
    <w:rsid w:val="00F474F5"/>
    <w:rsid w:val="00F62B94"/>
    <w:rsid w:val="00FA03A2"/>
    <w:rsid w:val="00FA3518"/>
    <w:rsid w:val="00FD1041"/>
    <w:rsid w:val="00FF1F44"/>
    <w:rsid w:val="00FF207C"/>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Ttulo1">
    <w:name w:val="heading 1"/>
    <w:basedOn w:val="Normal"/>
    <w:next w:val="Normal"/>
    <w:link w:val="Ttulo1Car"/>
    <w:autoRedefine/>
    <w:uiPriority w:val="9"/>
    <w:qFormat/>
    <w:rsid w:val="00101C98"/>
    <w:pPr>
      <w:keepNext/>
      <w:keepLines/>
      <w:spacing w:before="240"/>
      <w:outlineLvl w:val="0"/>
    </w:pPr>
    <w:rPr>
      <w:rFonts w:eastAsiaTheme="majorEastAsia" w:cstheme="majorBidi"/>
      <w:color w:val="3A4F92"/>
      <w:sz w:val="32"/>
      <w:szCs w:val="32"/>
    </w:rPr>
  </w:style>
  <w:style w:type="paragraph" w:styleId="Ttulo2">
    <w:name w:val="heading 2"/>
    <w:basedOn w:val="Normal"/>
    <w:next w:val="Normal"/>
    <w:link w:val="Ttulo2Car"/>
    <w:uiPriority w:val="9"/>
    <w:unhideWhenUsed/>
    <w:qFormat/>
    <w:rsid w:val="00101C98"/>
    <w:pPr>
      <w:keepNext/>
      <w:keepLines/>
      <w:spacing w:before="40"/>
      <w:outlineLvl w:val="1"/>
    </w:pPr>
    <w:rPr>
      <w:rFonts w:eastAsiaTheme="majorEastAsia" w:cstheme="majorBidi"/>
      <w:color w:val="3A4F92"/>
      <w:sz w:val="26"/>
      <w:szCs w:val="26"/>
    </w:rPr>
  </w:style>
  <w:style w:type="paragraph" w:styleId="Ttulo3">
    <w:name w:val="heading 3"/>
    <w:basedOn w:val="Normal"/>
    <w:next w:val="Normal"/>
    <w:link w:val="Ttulo3C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paragraph" w:styleId="Ttulo4">
    <w:name w:val="heading 4"/>
    <w:basedOn w:val="Normal"/>
    <w:next w:val="Normal"/>
    <w:link w:val="Ttulo4Car"/>
    <w:uiPriority w:val="9"/>
    <w:unhideWhenUsed/>
    <w:qFormat/>
    <w:rsid w:val="002605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5F1"/>
    <w:pPr>
      <w:tabs>
        <w:tab w:val="center" w:pos="4419"/>
        <w:tab w:val="right" w:pos="8838"/>
      </w:tabs>
    </w:pPr>
  </w:style>
  <w:style w:type="character" w:customStyle="1" w:styleId="EncabezadoCar">
    <w:name w:val="Encabezado Car"/>
    <w:basedOn w:val="Fuentedeprrafopredeter"/>
    <w:link w:val="Encabezado"/>
    <w:uiPriority w:val="99"/>
    <w:rsid w:val="005975F1"/>
  </w:style>
  <w:style w:type="paragraph" w:styleId="Piedepgina">
    <w:name w:val="footer"/>
    <w:basedOn w:val="Normal"/>
    <w:link w:val="PiedepginaCar"/>
    <w:uiPriority w:val="99"/>
    <w:unhideWhenUsed/>
    <w:rsid w:val="005975F1"/>
    <w:pPr>
      <w:tabs>
        <w:tab w:val="center" w:pos="4419"/>
        <w:tab w:val="right" w:pos="8838"/>
      </w:tabs>
    </w:pPr>
  </w:style>
  <w:style w:type="character" w:customStyle="1" w:styleId="PiedepginaCar">
    <w:name w:val="Pie de página Car"/>
    <w:basedOn w:val="Fuentedeprrafopredeter"/>
    <w:link w:val="Piedepgina"/>
    <w:uiPriority w:val="99"/>
    <w:rsid w:val="005975F1"/>
  </w:style>
  <w:style w:type="paragraph" w:styleId="Sinespaciado">
    <w:name w:val="No Spacing"/>
    <w:link w:val="SinespaciadoCar"/>
    <w:autoRedefine/>
    <w:uiPriority w:val="1"/>
    <w:qFormat/>
    <w:rsid w:val="00757C19"/>
    <w:rPr>
      <w:rFonts w:asciiTheme="minorBidi" w:hAnsiTheme="minorBidi"/>
      <w:sz w:val="21"/>
      <w:szCs w:val="22"/>
      <w:lang w:val="en-GB" w:eastAsia="en-US"/>
    </w:rPr>
  </w:style>
  <w:style w:type="character" w:customStyle="1" w:styleId="SinespaciadoCar">
    <w:name w:val="Sin espaciado Car"/>
    <w:basedOn w:val="Fuentedeprrafopredeter"/>
    <w:link w:val="Sinespaciado"/>
    <w:uiPriority w:val="1"/>
    <w:rsid w:val="00757C19"/>
    <w:rPr>
      <w:rFonts w:asciiTheme="minorBidi" w:hAnsiTheme="minorBidi"/>
      <w:sz w:val="21"/>
      <w:szCs w:val="22"/>
      <w:lang w:val="en-GB" w:eastAsia="en-US"/>
    </w:rPr>
  </w:style>
  <w:style w:type="character" w:styleId="Nmerodepgina">
    <w:name w:val="page number"/>
    <w:basedOn w:val="Fuentedeprrafopredeter"/>
    <w:uiPriority w:val="99"/>
    <w:semiHidden/>
    <w:unhideWhenUsed/>
    <w:rsid w:val="0029606C"/>
  </w:style>
  <w:style w:type="character" w:customStyle="1" w:styleId="Ttulo1Car">
    <w:name w:val="Título 1 Car"/>
    <w:basedOn w:val="Fuentedeprrafopredeter"/>
    <w:link w:val="Ttulo1"/>
    <w:uiPriority w:val="9"/>
    <w:rsid w:val="00101C98"/>
    <w:rPr>
      <w:rFonts w:asciiTheme="minorBidi" w:eastAsiaTheme="majorEastAsia" w:hAnsiTheme="minorBidi" w:cstheme="majorBidi"/>
      <w:color w:val="3A4F92"/>
      <w:sz w:val="32"/>
      <w:szCs w:val="32"/>
    </w:rPr>
  </w:style>
  <w:style w:type="paragraph" w:styleId="TtuloTDC">
    <w:name w:val="TOC Heading"/>
    <w:basedOn w:val="Ttulo1"/>
    <w:next w:val="Normal"/>
    <w:uiPriority w:val="39"/>
    <w:unhideWhenUsed/>
    <w:qFormat/>
    <w:rsid w:val="00E00D4F"/>
    <w:pPr>
      <w:spacing w:line="259" w:lineRule="auto"/>
      <w:outlineLvl w:val="9"/>
    </w:pPr>
    <w:rPr>
      <w:b/>
      <w:lang w:val="en-US" w:eastAsia="en-US"/>
    </w:rPr>
  </w:style>
  <w:style w:type="paragraph" w:styleId="TD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ipervnculo">
    <w:name w:val="Hyperlink"/>
    <w:basedOn w:val="Fuentedeprrafopredeter"/>
    <w:uiPriority w:val="99"/>
    <w:unhideWhenUsed/>
    <w:rsid w:val="00E00D4F"/>
    <w:rPr>
      <w:color w:val="0563C1" w:themeColor="hyperlink"/>
      <w:u w:val="single"/>
    </w:rPr>
  </w:style>
  <w:style w:type="paragraph" w:styleId="Ttulo">
    <w:name w:val="Title"/>
    <w:basedOn w:val="Normal"/>
    <w:next w:val="Normal"/>
    <w:link w:val="TtuloCar"/>
    <w:uiPriority w:val="10"/>
    <w:qFormat/>
    <w:rsid w:val="00101C98"/>
    <w:pPr>
      <w:contextualSpacing/>
    </w:pPr>
    <w:rPr>
      <w:rFonts w:eastAsiaTheme="majorEastAsia" w:cstheme="majorBidi"/>
      <w:color w:val="3A4F92"/>
      <w:spacing w:val="-10"/>
      <w:kern w:val="28"/>
      <w:sz w:val="72"/>
      <w:szCs w:val="56"/>
    </w:rPr>
  </w:style>
  <w:style w:type="character" w:customStyle="1" w:styleId="TtuloCar">
    <w:name w:val="Título Car"/>
    <w:basedOn w:val="Fuentedeprrafopredeter"/>
    <w:link w:val="Ttulo"/>
    <w:uiPriority w:val="10"/>
    <w:rsid w:val="00101C98"/>
    <w:rPr>
      <w:rFonts w:asciiTheme="minorBidi" w:eastAsiaTheme="majorEastAsia" w:hAnsiTheme="minorBidi" w:cstheme="majorBidi"/>
      <w:color w:val="3A4F92"/>
      <w:spacing w:val="-10"/>
      <w:kern w:val="28"/>
      <w:sz w:val="72"/>
      <w:szCs w:val="56"/>
    </w:rPr>
  </w:style>
  <w:style w:type="character" w:customStyle="1" w:styleId="Ttulo2Car">
    <w:name w:val="Título 2 Car"/>
    <w:basedOn w:val="Fuentedeprrafopredeter"/>
    <w:link w:val="Ttulo2"/>
    <w:uiPriority w:val="9"/>
    <w:rsid w:val="00101C98"/>
    <w:rPr>
      <w:rFonts w:asciiTheme="minorBidi" w:eastAsiaTheme="majorEastAsia" w:hAnsiTheme="minorBidi" w:cstheme="majorBidi"/>
      <w:color w:val="3A4F92"/>
      <w:sz w:val="26"/>
      <w:szCs w:val="26"/>
    </w:rPr>
  </w:style>
  <w:style w:type="paragraph" w:styleId="Subttulo">
    <w:name w:val="Subtitle"/>
    <w:basedOn w:val="Normal"/>
    <w:next w:val="Normal"/>
    <w:link w:val="SubttuloCar"/>
    <w:uiPriority w:val="11"/>
    <w:qFormat/>
    <w:rsid w:val="002C5DA6"/>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C5DA6"/>
    <w:rPr>
      <w:rFonts w:asciiTheme="minorBidi" w:hAnsiTheme="minorBidi"/>
      <w:color w:val="5A5A5A" w:themeColor="text1" w:themeTint="A5"/>
      <w:spacing w:val="15"/>
      <w:sz w:val="22"/>
      <w:szCs w:val="22"/>
    </w:rPr>
  </w:style>
  <w:style w:type="paragraph" w:styleId="Textodeglobo">
    <w:name w:val="Balloon Text"/>
    <w:basedOn w:val="Normal"/>
    <w:link w:val="TextodegloboCar"/>
    <w:uiPriority w:val="99"/>
    <w:semiHidden/>
    <w:unhideWhenUsed/>
    <w:rsid w:val="006434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434D3"/>
    <w:rPr>
      <w:rFonts w:ascii="Times New Roman" w:hAnsi="Times New Roman" w:cs="Times New Roman"/>
      <w:sz w:val="18"/>
      <w:szCs w:val="18"/>
    </w:rPr>
  </w:style>
  <w:style w:type="character" w:customStyle="1" w:styleId="Ttulo3Car">
    <w:name w:val="Título 3 Car"/>
    <w:basedOn w:val="Fuentedeprrafopredeter"/>
    <w:link w:val="Ttulo3"/>
    <w:uiPriority w:val="9"/>
    <w:rsid w:val="00101C98"/>
    <w:rPr>
      <w:rFonts w:ascii="Arial" w:eastAsiaTheme="majorEastAsia" w:hAnsi="Arial" w:cstheme="majorBidi"/>
      <w:color w:val="000000" w:themeColor="text1"/>
    </w:rPr>
  </w:style>
  <w:style w:type="paragraph" w:styleId="TDC2">
    <w:name w:val="toc 2"/>
    <w:basedOn w:val="Normal"/>
    <w:next w:val="Normal"/>
    <w:autoRedefine/>
    <w:uiPriority w:val="39"/>
    <w:unhideWhenUsed/>
    <w:rsid w:val="00101C98"/>
    <w:pPr>
      <w:spacing w:after="100"/>
      <w:ind w:left="210"/>
    </w:pPr>
  </w:style>
  <w:style w:type="paragraph" w:styleId="TDC3">
    <w:name w:val="toc 3"/>
    <w:basedOn w:val="Normal"/>
    <w:next w:val="Normal"/>
    <w:autoRedefine/>
    <w:uiPriority w:val="39"/>
    <w:unhideWhenUsed/>
    <w:rsid w:val="00101C98"/>
    <w:pPr>
      <w:spacing w:after="100"/>
      <w:ind w:left="420"/>
    </w:pPr>
  </w:style>
  <w:style w:type="paragraph" w:styleId="Prrafodelista">
    <w:name w:val="List Paragraph"/>
    <w:basedOn w:val="Normal"/>
    <w:uiPriority w:val="34"/>
    <w:qFormat/>
    <w:rsid w:val="009364C1"/>
    <w:pPr>
      <w:ind w:left="720"/>
      <w:contextualSpacing/>
    </w:pPr>
  </w:style>
  <w:style w:type="character" w:customStyle="1" w:styleId="Ttulo4Car">
    <w:name w:val="Título 4 Car"/>
    <w:basedOn w:val="Fuentedeprrafopredeter"/>
    <w:link w:val="Ttulo4"/>
    <w:uiPriority w:val="9"/>
    <w:rsid w:val="00260523"/>
    <w:rPr>
      <w:rFonts w:asciiTheme="majorHAnsi" w:eastAsiaTheme="majorEastAsia" w:hAnsiTheme="majorHAnsi" w:cstheme="majorBidi"/>
      <w:i/>
      <w:iCs/>
      <w:color w:val="2F5496"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7400-E42A-44E7-8CC4-A65217CE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2308</Words>
  <Characters>12700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6</cp:revision>
  <cp:lastPrinted>2020-09-30T12:03:00Z</cp:lastPrinted>
  <dcterms:created xsi:type="dcterms:W3CDTF">2023-05-19T11:52:00Z</dcterms:created>
  <dcterms:modified xsi:type="dcterms:W3CDTF">2023-05-19T15:36:00Z</dcterms:modified>
</cp:coreProperties>
</file>